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71E9D0">
      <w:pPr>
        <w:pStyle w:val="143"/>
      </w:pPr>
    </w:p>
    <w:p w14:paraId="68E5A0C1">
      <w:pPr>
        <w:pStyle w:val="143"/>
      </w:pPr>
    </w:p>
    <w:p w14:paraId="3703572D">
      <w:pPr>
        <w:pStyle w:val="143"/>
      </w:pPr>
    </w:p>
    <w:p w14:paraId="0BE3AB79">
      <w:pPr>
        <w:pStyle w:val="143"/>
      </w:pPr>
      <w:r>
        <w:rPr>
          <w:rFonts w:hint="eastAsia"/>
        </w:rPr>
        <w:t>电能计量超差（差错）退补电量计算</w:t>
      </w:r>
    </w:p>
    <w:p w14:paraId="268C7508">
      <w:pPr>
        <w:rPr>
          <w:color w:val="000000"/>
          <w:kern w:val="0"/>
          <w:sz w:val="44"/>
          <w:szCs w:val="44"/>
        </w:rPr>
      </w:pPr>
    </w:p>
    <w:p w14:paraId="65F6FA1C">
      <w:pPr>
        <w:jc w:val="left"/>
        <w:rPr>
          <w:color w:val="000000"/>
          <w:kern w:val="0"/>
          <w:sz w:val="44"/>
          <w:szCs w:val="44"/>
        </w:rPr>
      </w:pPr>
    </w:p>
    <w:p w14:paraId="124867E8">
      <w:pPr>
        <w:jc w:val="left"/>
        <w:rPr>
          <w:color w:val="000000"/>
          <w:kern w:val="0"/>
          <w:sz w:val="44"/>
          <w:szCs w:val="44"/>
        </w:rPr>
      </w:pPr>
    </w:p>
    <w:p w14:paraId="67191D76">
      <w:pPr>
        <w:pStyle w:val="76"/>
        <w:numPr>
          <w:ilvl w:val="0"/>
          <w:numId w:val="0"/>
        </w:numPr>
      </w:pPr>
    </w:p>
    <w:p w14:paraId="60421EC5">
      <w:pPr>
        <w:rPr>
          <w:rFonts w:eastAsia="黑体"/>
          <w:color w:val="000000"/>
          <w:kern w:val="0"/>
          <w:sz w:val="30"/>
          <w:szCs w:val="30"/>
        </w:rPr>
      </w:pPr>
      <w:r>
        <w:rPr>
          <w:rFonts w:hint="eastAsia" w:eastAsia="黑体"/>
          <w:color w:val="000000"/>
          <w:kern w:val="0"/>
          <w:sz w:val="30"/>
          <w:szCs w:val="30"/>
        </w:rPr>
        <w:t>编 制 说 明</w:t>
      </w:r>
    </w:p>
    <w:p w14:paraId="0B4814B4">
      <w:pPr>
        <w:jc w:val="both"/>
        <w:rPr>
          <w:rFonts w:eastAsia="黑体"/>
          <w:color w:val="000000"/>
          <w:kern w:val="0"/>
          <w:sz w:val="22"/>
        </w:rPr>
        <w:sectPr>
          <w:footerReference r:id="rId4" w:type="default"/>
          <w:headerReference r:id="rId3" w:type="even"/>
          <w:footerReference r:id="rId5" w:type="even"/>
          <w:pgSz w:w="11907" w:h="16840"/>
          <w:pgMar w:top="1440" w:right="1080" w:bottom="1440" w:left="1080" w:header="1448" w:footer="1121" w:gutter="0"/>
          <w:pgNumType w:start="1"/>
          <w:cols w:space="720" w:num="1"/>
          <w:docGrid w:linePitch="286" w:charSpace="0"/>
        </w:sectPr>
      </w:pPr>
    </w:p>
    <w:p w14:paraId="29696D90">
      <w:pPr>
        <w:spacing w:line="200" w:lineRule="exact"/>
        <w:jc w:val="left"/>
        <w:rPr>
          <w:color w:val="000000"/>
          <w:kern w:val="0"/>
          <w:sz w:val="20"/>
          <w:szCs w:val="20"/>
        </w:rPr>
      </w:pPr>
    </w:p>
    <w:p w14:paraId="0B11699D">
      <w:pPr>
        <w:spacing w:line="419" w:lineRule="exact"/>
        <w:ind w:left="118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目</w:t>
      </w:r>
      <w:r>
        <w:rPr>
          <w:rFonts w:eastAsia="黑体"/>
          <w:color w:val="000000"/>
          <w:kern w:val="0"/>
          <w:sz w:val="32"/>
          <w:szCs w:val="32"/>
        </w:rPr>
        <w:tab/>
      </w:r>
      <w:r>
        <w:rPr>
          <w:rFonts w:eastAsia="黑体"/>
          <w:color w:val="000000"/>
          <w:kern w:val="0"/>
          <w:sz w:val="32"/>
          <w:szCs w:val="32"/>
        </w:rPr>
        <w:t>次</w:t>
      </w:r>
    </w:p>
    <w:p w14:paraId="4745A067">
      <w:pPr>
        <w:pStyle w:val="2"/>
      </w:pPr>
    </w:p>
    <w:p w14:paraId="48EA3D63">
      <w:pPr>
        <w:pStyle w:val="30"/>
        <w:rPr>
          <w:rFonts w:asciiTheme="minorHAnsi" w:hAnsiTheme="minorHAnsi" w:eastAsiaTheme="minorEastAsia" w:cstheme="minorBidi"/>
          <w:szCs w:val="22"/>
        </w:rPr>
      </w:pPr>
      <w:r>
        <w:rPr>
          <w:color w:val="000000"/>
          <w:kern w:val="0"/>
        </w:rPr>
        <w:fldChar w:fldCharType="begin"/>
      </w:r>
      <w:r>
        <w:rPr>
          <w:color w:val="000000"/>
          <w:kern w:val="0"/>
        </w:rPr>
        <w:instrText xml:space="preserve"> TOC \o "1-1" \u </w:instrText>
      </w:r>
      <w:r>
        <w:rPr>
          <w:color w:val="000000"/>
          <w:kern w:val="0"/>
        </w:rPr>
        <w:fldChar w:fldCharType="separate"/>
      </w:r>
      <w:r>
        <w:t>1</w:t>
      </w:r>
      <w:r>
        <w:rPr>
          <w:rFonts w:asciiTheme="minorHAnsi" w:hAnsiTheme="minorHAnsi" w:eastAsiaTheme="minorEastAsia" w:cstheme="minorBidi"/>
          <w:szCs w:val="22"/>
        </w:rPr>
        <w:t xml:space="preserve">  </w:t>
      </w:r>
      <w:r>
        <w:t>目的意义</w:t>
      </w:r>
      <w:r>
        <w:tab/>
      </w:r>
      <w:r>
        <w:fldChar w:fldCharType="begin"/>
      </w:r>
      <w:r>
        <w:instrText xml:space="preserve"> PAGEREF _Toc214615890 \h </w:instrText>
      </w:r>
      <w:r>
        <w:fldChar w:fldCharType="separate"/>
      </w:r>
      <w:r>
        <w:t>1</w:t>
      </w:r>
      <w:r>
        <w:fldChar w:fldCharType="end"/>
      </w:r>
    </w:p>
    <w:p w14:paraId="3B2F53FE">
      <w:pPr>
        <w:pStyle w:val="30"/>
        <w:rPr>
          <w:rFonts w:asciiTheme="minorHAnsi" w:hAnsiTheme="minorHAnsi" w:eastAsiaTheme="minorEastAsia" w:cstheme="minorBidi"/>
          <w:szCs w:val="22"/>
        </w:rPr>
      </w:pPr>
      <w:r>
        <w:t>2</w:t>
      </w:r>
      <w:r>
        <w:rPr>
          <w:rFonts w:asciiTheme="minorHAnsi" w:hAnsiTheme="minorHAnsi" w:eastAsiaTheme="minorEastAsia" w:cstheme="minorBidi"/>
          <w:szCs w:val="22"/>
        </w:rPr>
        <w:t xml:space="preserve">  </w:t>
      </w:r>
      <w:r>
        <w:t>任务来源</w:t>
      </w:r>
      <w:r>
        <w:tab/>
      </w:r>
      <w:r>
        <w:fldChar w:fldCharType="begin"/>
      </w:r>
      <w:r>
        <w:instrText xml:space="preserve"> PAGEREF _Toc214615891 \h </w:instrText>
      </w:r>
      <w:r>
        <w:fldChar w:fldCharType="separate"/>
      </w:r>
      <w:r>
        <w:t>1</w:t>
      </w:r>
      <w:r>
        <w:fldChar w:fldCharType="end"/>
      </w:r>
    </w:p>
    <w:p w14:paraId="7EED0A7C">
      <w:pPr>
        <w:pStyle w:val="30"/>
        <w:rPr>
          <w:rFonts w:asciiTheme="minorHAnsi" w:hAnsiTheme="minorHAnsi" w:eastAsiaTheme="minorEastAsia" w:cstheme="minorBidi"/>
          <w:szCs w:val="22"/>
        </w:rPr>
      </w:pPr>
      <w:r>
        <w:t>3</w:t>
      </w:r>
      <w:r>
        <w:rPr>
          <w:rFonts w:asciiTheme="minorHAnsi" w:hAnsiTheme="minorHAnsi" w:eastAsiaTheme="minorEastAsia" w:cstheme="minorBidi"/>
          <w:szCs w:val="22"/>
        </w:rPr>
        <w:t xml:space="preserve">  </w:t>
      </w:r>
      <w:r>
        <w:t>编制过程</w:t>
      </w:r>
      <w:r>
        <w:tab/>
      </w:r>
      <w:r>
        <w:fldChar w:fldCharType="begin"/>
      </w:r>
      <w:r>
        <w:instrText xml:space="preserve"> PAGEREF _Toc214615892 \h </w:instrText>
      </w:r>
      <w:r>
        <w:fldChar w:fldCharType="separate"/>
      </w:r>
      <w:r>
        <w:t>1</w:t>
      </w:r>
      <w:r>
        <w:fldChar w:fldCharType="end"/>
      </w:r>
    </w:p>
    <w:p w14:paraId="2FC783EB">
      <w:pPr>
        <w:pStyle w:val="30"/>
        <w:rPr>
          <w:rFonts w:asciiTheme="minorHAnsi" w:hAnsiTheme="minorHAnsi" w:eastAsiaTheme="minorEastAsia" w:cstheme="minorBidi"/>
          <w:szCs w:val="22"/>
        </w:rPr>
      </w:pPr>
      <w:r>
        <w:t>4</w:t>
      </w:r>
      <w:r>
        <w:rPr>
          <w:rFonts w:asciiTheme="minorHAnsi" w:hAnsiTheme="minorHAnsi" w:eastAsiaTheme="minorEastAsia" w:cstheme="minorBidi"/>
          <w:szCs w:val="22"/>
        </w:rPr>
        <w:t xml:space="preserve">  </w:t>
      </w:r>
      <w:r>
        <w:t>主要修订内容</w:t>
      </w:r>
      <w:r>
        <w:tab/>
      </w:r>
      <w:r>
        <w:t>2</w:t>
      </w:r>
    </w:p>
    <w:p w14:paraId="51990844">
      <w:pPr>
        <w:pStyle w:val="30"/>
        <w:rPr>
          <w:rFonts w:asciiTheme="minorHAnsi" w:hAnsiTheme="minorHAnsi" w:eastAsiaTheme="minorEastAsia" w:cstheme="minorBidi"/>
          <w:szCs w:val="22"/>
        </w:rPr>
      </w:pPr>
      <w:r>
        <w:t>5</w:t>
      </w:r>
      <w:r>
        <w:rPr>
          <w:rFonts w:asciiTheme="minorHAnsi" w:hAnsiTheme="minorHAnsi" w:eastAsiaTheme="minorEastAsia" w:cstheme="minorBidi"/>
          <w:szCs w:val="22"/>
        </w:rPr>
        <w:t xml:space="preserve">  </w:t>
      </w:r>
      <w:r>
        <w:t>主要内容</w:t>
      </w:r>
      <w:r>
        <w:tab/>
      </w:r>
      <w:r>
        <w:t>3</w:t>
      </w:r>
    </w:p>
    <w:p w14:paraId="4B9650D3">
      <w:pPr>
        <w:pStyle w:val="30"/>
        <w:rPr>
          <w:rFonts w:asciiTheme="minorHAnsi" w:hAnsiTheme="minorHAnsi" w:eastAsiaTheme="minorEastAsia" w:cstheme="minorBidi"/>
          <w:szCs w:val="22"/>
        </w:rPr>
      </w:pPr>
      <w:r>
        <w:t>6</w:t>
      </w:r>
      <w:r>
        <w:rPr>
          <w:rFonts w:asciiTheme="minorHAnsi" w:hAnsiTheme="minorHAnsi" w:eastAsiaTheme="minorEastAsia" w:cstheme="minorBidi"/>
          <w:szCs w:val="22"/>
        </w:rPr>
        <w:t xml:space="preserve">  </w:t>
      </w:r>
      <w:r>
        <w:t>技术指标确定的依据</w:t>
      </w:r>
      <w:r>
        <w:tab/>
      </w:r>
      <w:r>
        <w:fldChar w:fldCharType="begin"/>
      </w:r>
      <w:r>
        <w:instrText xml:space="preserve"> PAGEREF _Toc214615895 \h </w:instrText>
      </w:r>
      <w:r>
        <w:fldChar w:fldCharType="separate"/>
      </w:r>
      <w:r>
        <w:t>3</w:t>
      </w:r>
      <w:r>
        <w:fldChar w:fldCharType="end"/>
      </w:r>
    </w:p>
    <w:p w14:paraId="6957AE6E">
      <w:pPr>
        <w:pStyle w:val="30"/>
        <w:rPr>
          <w:rFonts w:asciiTheme="minorHAnsi" w:hAnsiTheme="minorHAnsi" w:eastAsiaTheme="minorEastAsia" w:cstheme="minorBidi"/>
          <w:szCs w:val="22"/>
        </w:rPr>
      </w:pPr>
      <w:r>
        <w:t>7</w:t>
      </w:r>
      <w:r>
        <w:rPr>
          <w:rFonts w:asciiTheme="minorHAnsi" w:hAnsiTheme="minorHAnsi" w:eastAsiaTheme="minorEastAsia" w:cstheme="minorBidi"/>
          <w:szCs w:val="22"/>
        </w:rPr>
        <w:t xml:space="preserve">  </w:t>
      </w:r>
      <w:r>
        <w:t>重大分歧意见的处理过程和依据</w:t>
      </w:r>
      <w:r>
        <w:tab/>
      </w:r>
      <w:r>
        <w:t>4</w:t>
      </w:r>
    </w:p>
    <w:p w14:paraId="2E7E2145">
      <w:pPr>
        <w:pStyle w:val="30"/>
        <w:rPr>
          <w:rFonts w:asciiTheme="minorHAnsi" w:hAnsiTheme="minorHAnsi" w:eastAsiaTheme="minorEastAsia" w:cstheme="minorBidi"/>
          <w:szCs w:val="22"/>
        </w:rPr>
      </w:pPr>
      <w:r>
        <w:rPr>
          <w:color w:val="000000"/>
        </w:rPr>
        <w:t>8</w:t>
      </w:r>
      <w:r>
        <w:rPr>
          <w:rFonts w:asciiTheme="minorHAnsi" w:hAnsiTheme="minorHAnsi" w:eastAsiaTheme="minorEastAsia" w:cstheme="minorBidi"/>
          <w:szCs w:val="22"/>
        </w:rPr>
        <w:t xml:space="preserve">  </w:t>
      </w:r>
      <w:r>
        <w:t>与相关法律法规和标准的关系</w:t>
      </w:r>
      <w:r>
        <w:tab/>
      </w:r>
      <w:r>
        <w:fldChar w:fldCharType="begin"/>
      </w:r>
      <w:r>
        <w:instrText xml:space="preserve"> PAGEREF _Toc214615897 \h </w:instrText>
      </w:r>
      <w:r>
        <w:fldChar w:fldCharType="separate"/>
      </w:r>
      <w:r>
        <w:t>4</w:t>
      </w:r>
      <w:r>
        <w:fldChar w:fldCharType="end"/>
      </w:r>
    </w:p>
    <w:p w14:paraId="2D4847C9">
      <w:pPr>
        <w:pStyle w:val="30"/>
        <w:rPr>
          <w:rFonts w:asciiTheme="minorHAnsi" w:hAnsiTheme="minorHAnsi" w:eastAsiaTheme="minorEastAsia" w:cstheme="minorBidi"/>
          <w:szCs w:val="22"/>
        </w:rPr>
      </w:pPr>
      <w:r>
        <w:t>9</w:t>
      </w:r>
      <w:r>
        <w:rPr>
          <w:rFonts w:asciiTheme="minorHAnsi" w:hAnsiTheme="minorHAnsi" w:eastAsiaTheme="minorEastAsia" w:cstheme="minorBidi"/>
          <w:szCs w:val="22"/>
        </w:rPr>
        <w:t xml:space="preserve">  </w:t>
      </w:r>
      <w:r>
        <w:t>推广实施建议</w:t>
      </w:r>
      <w:r>
        <w:tab/>
      </w:r>
      <w:r>
        <w:fldChar w:fldCharType="begin"/>
      </w:r>
      <w:r>
        <w:instrText xml:space="preserve"> PAGEREF _Toc214615898 \h </w:instrText>
      </w:r>
      <w:r>
        <w:fldChar w:fldCharType="separate"/>
      </w:r>
      <w:r>
        <w:t>4</w:t>
      </w:r>
      <w:r>
        <w:fldChar w:fldCharType="end"/>
      </w:r>
    </w:p>
    <w:p w14:paraId="7856495B">
      <w:pPr>
        <w:pStyle w:val="30"/>
        <w:rPr>
          <w:rFonts w:asciiTheme="minorHAnsi" w:hAnsiTheme="minorHAnsi" w:eastAsiaTheme="minorEastAsia" w:cstheme="minorBidi"/>
          <w:szCs w:val="22"/>
        </w:rPr>
      </w:pPr>
      <w:r>
        <w:t>10</w:t>
      </w:r>
      <w:r>
        <w:rPr>
          <w:rFonts w:asciiTheme="minorHAnsi" w:hAnsiTheme="minorHAnsi" w:eastAsiaTheme="minorEastAsia" w:cstheme="minorBidi"/>
          <w:szCs w:val="22"/>
        </w:rPr>
        <w:t xml:space="preserve"> </w:t>
      </w:r>
      <w:r>
        <w:t>起草单位和起草人员信息及分工</w:t>
      </w:r>
      <w:r>
        <w:tab/>
      </w:r>
      <w:r>
        <w:fldChar w:fldCharType="begin"/>
      </w:r>
      <w:r>
        <w:instrText xml:space="preserve"> PAGEREF _Toc214615899 \h </w:instrText>
      </w:r>
      <w:r>
        <w:fldChar w:fldCharType="separate"/>
      </w:r>
      <w:r>
        <w:t>4</w:t>
      </w:r>
      <w:r>
        <w:fldChar w:fldCharType="end"/>
      </w:r>
    </w:p>
    <w:p w14:paraId="7282DE58">
      <w:pPr>
        <w:spacing w:before="79" w:line="360" w:lineRule="auto"/>
        <w:ind w:right="115"/>
        <w:jc w:val="both"/>
        <w:rPr>
          <w:color w:val="000000"/>
          <w:kern w:val="0"/>
          <w:sz w:val="22"/>
        </w:rPr>
        <w:sectPr>
          <w:headerReference r:id="rId8" w:type="first"/>
          <w:footerReference r:id="rId10" w:type="first"/>
          <w:headerReference r:id="rId6" w:type="default"/>
          <w:footerReference r:id="rId9" w:type="default"/>
          <w:headerReference r:id="rId7" w:type="even"/>
          <w:pgSz w:w="11907" w:h="16840"/>
          <w:pgMar w:top="1440" w:right="1080" w:bottom="1440" w:left="1080" w:header="1077" w:footer="1077" w:gutter="0"/>
          <w:pgNumType w:fmt="upperRoman" w:start="1"/>
          <w:cols w:space="720" w:num="1"/>
          <w:titlePg/>
          <w:docGrid w:linePitch="286" w:charSpace="0"/>
        </w:sectPr>
      </w:pPr>
      <w:r>
        <w:rPr>
          <w:color w:val="000000"/>
          <w:kern w:val="0"/>
          <w:szCs w:val="21"/>
        </w:rPr>
        <w:fldChar w:fldCharType="end"/>
      </w:r>
    </w:p>
    <w:p w14:paraId="51A57918">
      <w:pPr>
        <w:pStyle w:val="76"/>
      </w:pPr>
      <w:bookmarkStart w:id="0" w:name="_bookmark22"/>
      <w:bookmarkEnd w:id="0"/>
      <w:bookmarkStart w:id="1" w:name="_Toc214615890"/>
      <w:r>
        <w:rPr>
          <w:rFonts w:hint="eastAsia"/>
        </w:rPr>
        <w:t>目的意义</w:t>
      </w:r>
      <w:bookmarkEnd w:id="1"/>
    </w:p>
    <w:p w14:paraId="54248F82">
      <w:pPr>
        <w:pStyle w:val="34"/>
      </w:pPr>
      <w:r>
        <w:rPr>
          <w:rFonts w:hint="eastAsia"/>
        </w:rPr>
        <w:t>电量贸易结算的公平、公正关系到发电企业和电网企业之间、电网企业与电力客户之间的经济利益，近年来我省发电厂、用户数量以及发电量、用电量持续增长，电能计量装置的数量也随之增长。在电能计量设备自身故障、人为操作失当或外部不利环境的影响下，电能计量装置难免会产生超差或差错，造成计量数据的错误，给上述企业或客户造成电量损失，为此，需要有规范性的电量数据计算和修正方法。</w:t>
      </w:r>
    </w:p>
    <w:p w14:paraId="78F4B24A">
      <w:pPr>
        <w:pStyle w:val="34"/>
      </w:pPr>
      <w:r>
        <w:rPr>
          <w:rFonts w:hint="eastAsia"/>
        </w:rPr>
        <w:t>经过近十九年的实行，现行标准</w:t>
      </w:r>
      <w:r>
        <w:t>DB32／990</w:t>
      </w:r>
      <w:r>
        <w:rPr>
          <w:rFonts w:hint="eastAsia" w:eastAsia="宋体"/>
          <w:sz w:val="18"/>
          <w:szCs w:val="18"/>
        </w:rPr>
        <w:t>—</w:t>
      </w:r>
      <w:r>
        <w:t>2007</w:t>
      </w:r>
      <w:r>
        <w:rPr>
          <w:rFonts w:hint="eastAsia"/>
        </w:rPr>
        <w:t>《</w:t>
      </w:r>
      <w:r>
        <w:t>电能计量超差(差错)退补电量计算</w:t>
      </w:r>
      <w:r>
        <w:rPr>
          <w:rFonts w:hint="eastAsia"/>
        </w:rPr>
        <w:t>》中的某些条款已无法满足现实的要求，需要作重要修订。</w:t>
      </w:r>
    </w:p>
    <w:p w14:paraId="1593B9E0">
      <w:pPr>
        <w:pStyle w:val="34"/>
      </w:pPr>
      <w:r>
        <w:rPr>
          <w:rFonts w:hint="eastAsia"/>
        </w:rPr>
        <w:t>本标准的修订旨在规范电能计量超差（差错）电量的退补计算方法，保证购、售电双方或供、用电双方电能计量的公平、公正以及计算的科学、合理，维护发电、购电、供电、用电各方的合法权益，促进电力市场健康发展。</w:t>
      </w:r>
    </w:p>
    <w:p w14:paraId="562EA696">
      <w:pPr>
        <w:pStyle w:val="76"/>
      </w:pPr>
      <w:bookmarkStart w:id="2" w:name="_Toc214615891"/>
      <w:bookmarkStart w:id="3" w:name="_Toc166106346"/>
      <w:r>
        <w:rPr>
          <w:rFonts w:hint="eastAsia"/>
        </w:rPr>
        <w:t>任务来源</w:t>
      </w:r>
      <w:bookmarkEnd w:id="2"/>
      <w:bookmarkEnd w:id="3"/>
    </w:p>
    <w:p w14:paraId="73E7A8E1">
      <w:pPr>
        <w:pStyle w:val="34"/>
      </w:pPr>
      <w:r>
        <w:rPr>
          <w:rFonts w:hint="eastAsia"/>
        </w:rPr>
        <w:t>根据《省市场监管局关于下达</w:t>
      </w:r>
      <w:r>
        <w:t>2023年度江苏省地方标准项目计划的通知》（苏市监标〔2023〕173号）的有关要求，由国网江苏省电力有限公司营销服务中心作为项目承担单位完成DB32／990-2007《电能计量超差（差错）退补电量计算》标准修订任务，项目统一编号为</w:t>
      </w:r>
      <w:r>
        <w:rPr>
          <w:color w:val="auto"/>
        </w:rPr>
        <w:t>2023-15</w:t>
      </w:r>
      <w:r>
        <w:t>。</w:t>
      </w:r>
    </w:p>
    <w:p w14:paraId="036120D0">
      <w:pPr>
        <w:pStyle w:val="76"/>
      </w:pPr>
      <w:bookmarkStart w:id="4" w:name="_Toc10462824"/>
      <w:bookmarkStart w:id="5" w:name="_Toc214615892"/>
      <w:bookmarkStart w:id="6" w:name="_Toc338340184"/>
      <w:bookmarkStart w:id="7" w:name="_Toc495476951"/>
      <w:bookmarkStart w:id="8" w:name="_Toc497087671"/>
      <w:r>
        <w:rPr>
          <w:rFonts w:hint="eastAsia"/>
        </w:rPr>
        <w:t>编制过程</w:t>
      </w:r>
      <w:bookmarkEnd w:id="4"/>
      <w:bookmarkEnd w:id="5"/>
      <w:bookmarkEnd w:id="6"/>
      <w:bookmarkEnd w:id="7"/>
      <w:bookmarkEnd w:id="8"/>
    </w:p>
    <w:p w14:paraId="4A586790">
      <w:pPr>
        <w:pStyle w:val="34"/>
      </w:pPr>
      <w:r>
        <w:t>2023年6</w:t>
      </w:r>
      <w:r>
        <w:rPr>
          <w:rFonts w:hint="eastAsia"/>
        </w:rPr>
        <w:t>月至</w:t>
      </w:r>
      <w:r>
        <w:t>7月，向省内发电企业、供电企业</w:t>
      </w:r>
      <w:r>
        <w:rPr>
          <w:rFonts w:hint="eastAsia"/>
        </w:rPr>
        <w:t>及用户</w:t>
      </w:r>
      <w:r>
        <w:t>等单位开展调查研究</w:t>
      </w:r>
      <w:r>
        <w:rPr>
          <w:rFonts w:hint="eastAsia"/>
        </w:rPr>
        <w:t>，启动</w:t>
      </w:r>
      <w:r>
        <w:t>标准修订</w:t>
      </w:r>
      <w:r>
        <w:rPr>
          <w:rFonts w:hint="eastAsia"/>
        </w:rPr>
        <w:t>的研究</w:t>
      </w:r>
      <w:r>
        <w:t>工作</w:t>
      </w:r>
      <w:r>
        <w:rPr>
          <w:rFonts w:hint="eastAsia"/>
        </w:rPr>
        <w:t>。</w:t>
      </w:r>
    </w:p>
    <w:p w14:paraId="1733F952">
      <w:pPr>
        <w:pStyle w:val="34"/>
      </w:pPr>
      <w:r>
        <w:t>202</w:t>
      </w:r>
      <w:r>
        <w:rPr>
          <w:rFonts w:hint="eastAsia"/>
        </w:rPr>
        <w:t>3</w:t>
      </w:r>
      <w:r>
        <w:t>年</w:t>
      </w:r>
      <w:r>
        <w:rPr>
          <w:rFonts w:hint="eastAsia"/>
        </w:rPr>
        <w:t>8</w:t>
      </w:r>
      <w:r>
        <w:t>月，申请江苏省</w:t>
      </w:r>
      <w:r>
        <w:rPr>
          <w:rFonts w:hint="eastAsia"/>
        </w:rPr>
        <w:t>地方</w:t>
      </w:r>
      <w:r>
        <w:t>标准</w:t>
      </w:r>
      <w:r>
        <w:rPr>
          <w:rFonts w:hint="eastAsia"/>
        </w:rPr>
        <w:t>并获</w:t>
      </w:r>
      <w:r>
        <w:t>批</w:t>
      </w:r>
      <w:r>
        <w:rPr>
          <w:rFonts w:hint="eastAsia"/>
        </w:rPr>
        <w:t>。</w:t>
      </w:r>
    </w:p>
    <w:p w14:paraId="0933D4DB">
      <w:pPr>
        <w:pStyle w:val="34"/>
      </w:pPr>
      <w:r>
        <w:t>202</w:t>
      </w:r>
      <w:r>
        <w:rPr>
          <w:rFonts w:hint="eastAsia"/>
        </w:rPr>
        <w:t>3</w:t>
      </w:r>
      <w:r>
        <w:t>年8</w:t>
      </w:r>
      <w:r>
        <w:rPr>
          <w:rFonts w:hint="eastAsia"/>
        </w:rPr>
        <w:t>月至</w:t>
      </w:r>
      <w:r>
        <w:t>9月，</w:t>
      </w:r>
      <w:r>
        <w:rPr>
          <w:rFonts w:hint="eastAsia"/>
        </w:rPr>
        <w:t>通过调查研究，梳理了当前电能计量超差（差错）退补电量计算过程中遇到的问题，根据梳理的结果，建立了本标准修订方向和研究技术路线。</w:t>
      </w:r>
    </w:p>
    <w:p w14:paraId="680B157C">
      <w:pPr>
        <w:pStyle w:val="34"/>
      </w:pPr>
      <w:r>
        <w:t>2023年10</w:t>
      </w:r>
      <w:r>
        <w:rPr>
          <w:rFonts w:hint="eastAsia"/>
        </w:rPr>
        <w:t>月至</w:t>
      </w:r>
      <w:r>
        <w:t>12月</w:t>
      </w:r>
      <w:r>
        <w:rPr>
          <w:rFonts w:hint="eastAsia"/>
        </w:rPr>
        <w:t>，形成</w:t>
      </w:r>
      <w:r>
        <w:t>《电能计量超差(差错)退补电量计算》</w:t>
      </w:r>
      <w:r>
        <w:rPr>
          <w:rFonts w:hint="eastAsia"/>
        </w:rPr>
        <w:t>初稿。</w:t>
      </w:r>
    </w:p>
    <w:p w14:paraId="67019230">
      <w:pPr>
        <w:pStyle w:val="34"/>
      </w:pPr>
      <w:r>
        <w:t>202</w:t>
      </w:r>
      <w:r>
        <w:rPr>
          <w:rFonts w:hint="eastAsia"/>
        </w:rPr>
        <w:t>4</w:t>
      </w:r>
      <w:r>
        <w:t>年1月</w:t>
      </w:r>
      <w:r>
        <w:rPr>
          <w:rFonts w:hint="eastAsia"/>
        </w:rPr>
        <w:t>至</w:t>
      </w:r>
      <w:r>
        <w:t>4月，</w:t>
      </w:r>
      <w:r>
        <w:rPr>
          <w:rFonts w:hint="eastAsia"/>
        </w:rPr>
        <w:t>组织供电公司、发电厂相关专家对初稿开展</w:t>
      </w:r>
      <w:r>
        <w:t>评审</w:t>
      </w:r>
      <w:r>
        <w:rPr>
          <w:rFonts w:hint="eastAsia"/>
        </w:rPr>
        <w:t>，并</w:t>
      </w:r>
      <w:r>
        <w:t>根据</w:t>
      </w:r>
      <w:r>
        <w:rPr>
          <w:rFonts w:hint="eastAsia"/>
        </w:rPr>
        <w:t>专家意见修改初稿。</w:t>
      </w:r>
    </w:p>
    <w:p w14:paraId="4CDCF99B">
      <w:pPr>
        <w:pStyle w:val="34"/>
      </w:pPr>
      <w:r>
        <w:t>202</w:t>
      </w:r>
      <w:r>
        <w:rPr>
          <w:rFonts w:hint="eastAsia"/>
        </w:rPr>
        <w:t>4</w:t>
      </w:r>
      <w:r>
        <w:t>年5月</w:t>
      </w:r>
      <w:r>
        <w:rPr>
          <w:rFonts w:hint="eastAsia"/>
        </w:rPr>
        <w:t>至</w:t>
      </w:r>
      <w:r>
        <w:t>8月，</w:t>
      </w:r>
      <w:r>
        <w:rPr>
          <w:rFonts w:hint="eastAsia"/>
        </w:rPr>
        <w:t>多次组织视频讨论会，邀请供电公司、发电厂相关专家对标准内容进行讨论，明确下一步修改方案。</w:t>
      </w:r>
    </w:p>
    <w:p w14:paraId="4256B0C5">
      <w:pPr>
        <w:pStyle w:val="34"/>
      </w:pPr>
      <w:r>
        <w:rPr>
          <w:rFonts w:hint="eastAsia"/>
        </w:rPr>
        <w:t>2024年</w:t>
      </w:r>
      <w:r>
        <w:t>9</w:t>
      </w:r>
      <w:r>
        <w:rPr>
          <w:rFonts w:hint="eastAsia"/>
        </w:rPr>
        <w:t>月，完成《电能计量超差（差错）退补电量计算》初稿的修改，并召开标准论证会，邀请中国电科院、江苏计量科学研究院、南京市计量监督检测院、四川电力公司营销服务中心、江苏射阳港发电有限公司、淮安供电公司等单位的专家进行评审。</w:t>
      </w:r>
    </w:p>
    <w:p w14:paraId="60089A88">
      <w:pPr>
        <w:pStyle w:val="34"/>
      </w:pPr>
      <w:r>
        <w:t>2024年9月至2025年1月，根据</w:t>
      </w:r>
      <w:r>
        <w:rPr>
          <w:rFonts w:hint="eastAsia"/>
        </w:rPr>
        <w:t>论证会</w:t>
      </w:r>
      <w:r>
        <w:t>专家的意见进行初稿的修改，形成征求意见稿。</w:t>
      </w:r>
    </w:p>
    <w:p w14:paraId="4B9D1B3E">
      <w:pPr>
        <w:pStyle w:val="34"/>
      </w:pPr>
      <w:r>
        <w:t>202</w:t>
      </w:r>
      <w:r>
        <w:rPr>
          <w:rFonts w:hint="eastAsia"/>
        </w:rPr>
        <w:t>5</w:t>
      </w:r>
      <w:r>
        <w:t>年</w:t>
      </w:r>
      <w:r>
        <w:rPr>
          <w:rFonts w:hint="eastAsia"/>
        </w:rPr>
        <w:t>2</w:t>
      </w:r>
      <w:r>
        <w:t>月，</w:t>
      </w:r>
      <w:r>
        <w:rPr>
          <w:rFonts w:hint="eastAsia"/>
        </w:rPr>
        <w:t>江苏省电力标准化技术委员会组织南京市计量监督检测院、南通供电公司、淮安供电公司、苏州工业园区蓝鑫储能科技有限公司、中天钢铁集团有限公司、南钢集团有限公司等单位的专家对</w:t>
      </w:r>
      <w:r>
        <w:t>征求意见稿</w:t>
      </w:r>
      <w:r>
        <w:rPr>
          <w:rFonts w:hint="eastAsia"/>
        </w:rPr>
        <w:t>进行评审。</w:t>
      </w:r>
    </w:p>
    <w:p w14:paraId="5DDA6FAA">
      <w:pPr>
        <w:pStyle w:val="34"/>
      </w:pPr>
      <w:r>
        <w:t>202</w:t>
      </w:r>
      <w:r>
        <w:rPr>
          <w:rFonts w:hint="eastAsia"/>
        </w:rPr>
        <w:t>5</w:t>
      </w:r>
      <w:r>
        <w:t>年2月</w:t>
      </w:r>
      <w:r>
        <w:rPr>
          <w:rFonts w:hint="eastAsia"/>
        </w:rPr>
        <w:t>至</w:t>
      </w:r>
      <w:r>
        <w:t>3月，</w:t>
      </w:r>
      <w:r>
        <w:rPr>
          <w:rFonts w:hint="eastAsia"/>
        </w:rPr>
        <w:t>根据专家的意见进行</w:t>
      </w:r>
      <w:r>
        <w:t>征求意见稿</w:t>
      </w:r>
      <w:r>
        <w:rPr>
          <w:rFonts w:hint="eastAsia"/>
        </w:rPr>
        <w:t>的修改。</w:t>
      </w:r>
    </w:p>
    <w:p w14:paraId="1C4A3110">
      <w:pPr>
        <w:pStyle w:val="34"/>
      </w:pPr>
      <w:r>
        <w:t>202</w:t>
      </w:r>
      <w:r>
        <w:rPr>
          <w:rFonts w:hint="eastAsia"/>
        </w:rPr>
        <w:t>5</w:t>
      </w:r>
      <w:r>
        <w:t>年4月</w:t>
      </w:r>
      <w:r>
        <w:rPr>
          <w:rFonts w:hint="eastAsia"/>
        </w:rPr>
        <w:t>至</w:t>
      </w:r>
      <w:r>
        <w:t>10月，</w:t>
      </w:r>
      <w:r>
        <w:rPr>
          <w:rFonts w:hint="eastAsia"/>
        </w:rPr>
        <w:t>向有关各方征求意见，共征集意见</w:t>
      </w:r>
      <w:r>
        <w:t>38条，采纳36条</w:t>
      </w:r>
      <w:r>
        <w:rPr>
          <w:rFonts w:hint="eastAsia"/>
        </w:rPr>
        <w:t>，不采纳</w:t>
      </w:r>
      <w:r>
        <w:t>2</w:t>
      </w:r>
      <w:r>
        <w:rPr>
          <w:rFonts w:hint="eastAsia"/>
        </w:rPr>
        <w:t>条，修改后形成送审稿。</w:t>
      </w:r>
    </w:p>
    <w:p w14:paraId="414979CC">
      <w:pPr>
        <w:pStyle w:val="34"/>
        <w:sectPr>
          <w:headerReference r:id="rId11" w:type="default"/>
          <w:footerReference r:id="rId12" w:type="default"/>
          <w:pgSz w:w="11907" w:h="16840"/>
          <w:pgMar w:top="1417" w:right="1134" w:bottom="1134" w:left="1417" w:header="1123" w:footer="1123" w:gutter="0"/>
          <w:pgNumType w:start="1"/>
          <w:cols w:space="720" w:num="1"/>
          <w:docGrid w:linePitch="286" w:charSpace="0"/>
        </w:sectPr>
      </w:pPr>
    </w:p>
    <w:p w14:paraId="25B49A8E">
      <w:pPr>
        <w:pStyle w:val="34"/>
      </w:pPr>
      <w:r>
        <w:t>202</w:t>
      </w:r>
      <w:r>
        <w:rPr>
          <w:rFonts w:hint="eastAsia"/>
        </w:rPr>
        <w:t>5</w:t>
      </w:r>
      <w:r>
        <w:t>年11月，</w:t>
      </w:r>
      <w:r>
        <w:rPr>
          <w:rFonts w:hint="eastAsia"/>
        </w:rPr>
        <w:t>江苏省市场监管局组织召开了标准审查会议，专家听取了编制组关于标准编制情况的汇报，并对标准送审稿进行审查，建议在原有文本基础上对少数内容进行修改完善后报批。</w:t>
      </w:r>
    </w:p>
    <w:p w14:paraId="04BF2F77">
      <w:pPr>
        <w:pStyle w:val="34"/>
      </w:pPr>
      <w:r>
        <w:t>202</w:t>
      </w:r>
      <w:r>
        <w:rPr>
          <w:rFonts w:hint="eastAsia"/>
        </w:rPr>
        <w:t>5</w:t>
      </w:r>
      <w:r>
        <w:t>年11月</w:t>
      </w:r>
      <w:r>
        <w:rPr>
          <w:rFonts w:hint="eastAsia"/>
        </w:rPr>
        <w:t>至</w:t>
      </w:r>
      <w:r>
        <w:t>12月，</w:t>
      </w:r>
      <w:r>
        <w:rPr>
          <w:rFonts w:hint="eastAsia"/>
        </w:rPr>
        <w:t>根据标准审查会议专家的意见修改送审稿，形成报批稿。</w:t>
      </w:r>
    </w:p>
    <w:p w14:paraId="51E1B7CA">
      <w:pPr>
        <w:pStyle w:val="76"/>
      </w:pPr>
      <w:bookmarkStart w:id="9" w:name="_Toc214615893"/>
      <w:r>
        <w:rPr>
          <w:rFonts w:hint="eastAsia"/>
        </w:rPr>
        <w:t>主要修订内容</w:t>
      </w:r>
      <w:bookmarkEnd w:id="9"/>
    </w:p>
    <w:tbl>
      <w:tblPr>
        <w:tblStyle w:val="4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5705"/>
        <w:gridCol w:w="3055"/>
      </w:tblGrid>
      <w:tr w14:paraId="281E96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704" w:type="dxa"/>
            <w:vAlign w:val="center"/>
          </w:tcPr>
          <w:p w14:paraId="1C9F5BE1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5705" w:type="dxa"/>
            <w:vAlign w:val="center"/>
          </w:tcPr>
          <w:p w14:paraId="26E31D92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DB32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color w:val="000000"/>
                <w:kern w:val="0"/>
                <w:sz w:val="18"/>
                <w:szCs w:val="18"/>
              </w:rPr>
              <w:t>T 990</w:t>
            </w:r>
            <w:r>
              <w:rPr>
                <w:rFonts w:hint="eastAsia"/>
                <w:sz w:val="18"/>
                <w:szCs w:val="18"/>
              </w:rPr>
              <w:t>—</w:t>
            </w:r>
            <w:r>
              <w:rPr>
                <w:color w:val="000000"/>
                <w:kern w:val="0"/>
                <w:sz w:val="18"/>
                <w:szCs w:val="18"/>
              </w:rPr>
              <w:t>202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color w:val="000000"/>
                <w:kern w:val="0"/>
                <w:sz w:val="18"/>
                <w:szCs w:val="18"/>
              </w:rPr>
              <w:t>修订版</w:t>
            </w:r>
          </w:p>
        </w:tc>
        <w:tc>
          <w:tcPr>
            <w:tcW w:w="3055" w:type="dxa"/>
            <w:vAlign w:val="center"/>
          </w:tcPr>
          <w:p w14:paraId="36A47766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DB32/990</w:t>
            </w:r>
            <w:r>
              <w:rPr>
                <w:rFonts w:hint="eastAsia"/>
                <w:sz w:val="18"/>
                <w:szCs w:val="18"/>
              </w:rPr>
              <w:t>—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2007</w:t>
            </w:r>
          </w:p>
        </w:tc>
      </w:tr>
      <w:tr w14:paraId="23274F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704" w:type="dxa"/>
            <w:vAlign w:val="center"/>
          </w:tcPr>
          <w:p w14:paraId="61D24A5B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705" w:type="dxa"/>
            <w:vAlign w:val="center"/>
          </w:tcPr>
          <w:p w14:paraId="146B344D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jc w:val="both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增加了“电能计量器具”术语定义（见</w:t>
            </w:r>
            <w:r>
              <w:rPr>
                <w:color w:val="000000"/>
                <w:kern w:val="0"/>
                <w:sz w:val="18"/>
                <w:szCs w:val="18"/>
              </w:rPr>
              <w:t>3.1）</w:t>
            </w:r>
          </w:p>
        </w:tc>
        <w:tc>
          <w:tcPr>
            <w:tcW w:w="3055" w:type="dxa"/>
            <w:vAlign w:val="center"/>
          </w:tcPr>
          <w:p w14:paraId="68EAD762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jc w:val="both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6D725F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704" w:type="dxa"/>
            <w:vAlign w:val="center"/>
          </w:tcPr>
          <w:p w14:paraId="6E7DFE8B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705" w:type="dxa"/>
            <w:vAlign w:val="center"/>
          </w:tcPr>
          <w:p w14:paraId="6AF3616A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jc w:val="both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更改了“电能计量超差”、“</w:t>
            </w:r>
            <w:r>
              <w:rPr>
                <w:color w:val="000000"/>
                <w:kern w:val="0"/>
                <w:sz w:val="18"/>
                <w:szCs w:val="18"/>
              </w:rPr>
              <w:t>电能计量差错”的定义（见3.2、3.3）</w:t>
            </w:r>
          </w:p>
        </w:tc>
        <w:tc>
          <w:tcPr>
            <w:tcW w:w="3055" w:type="dxa"/>
            <w:vAlign w:val="center"/>
          </w:tcPr>
          <w:p w14:paraId="113DE5D9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jc w:val="both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3.1、3.2</w:t>
            </w:r>
          </w:p>
        </w:tc>
      </w:tr>
      <w:tr w14:paraId="4C8463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704" w:type="dxa"/>
            <w:vAlign w:val="center"/>
          </w:tcPr>
          <w:p w14:paraId="50261D2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705" w:type="dxa"/>
            <w:vAlign w:val="center"/>
          </w:tcPr>
          <w:p w14:paraId="079CD5FA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jc w:val="both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增加了“电能计量超差（差错）类型”一章（见第</w:t>
            </w:r>
            <w:r>
              <w:rPr>
                <w:color w:val="000000"/>
                <w:kern w:val="0"/>
                <w:sz w:val="18"/>
                <w:szCs w:val="18"/>
              </w:rPr>
              <w:t>4章）</w:t>
            </w:r>
          </w:p>
        </w:tc>
        <w:tc>
          <w:tcPr>
            <w:tcW w:w="3055" w:type="dxa"/>
            <w:vAlign w:val="center"/>
          </w:tcPr>
          <w:p w14:paraId="49F5C10A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jc w:val="both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4355B6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704" w:type="dxa"/>
            <w:vAlign w:val="center"/>
          </w:tcPr>
          <w:p w14:paraId="6507EDB8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705" w:type="dxa"/>
            <w:vAlign w:val="center"/>
          </w:tcPr>
          <w:p w14:paraId="0B7F5792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jc w:val="both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将“方法”更改为“退补电量计算方法”（见第</w:t>
            </w:r>
            <w:r>
              <w:rPr>
                <w:color w:val="000000"/>
                <w:kern w:val="0"/>
                <w:sz w:val="18"/>
                <w:szCs w:val="18"/>
              </w:rPr>
              <w:t>5章）</w:t>
            </w:r>
          </w:p>
        </w:tc>
        <w:tc>
          <w:tcPr>
            <w:tcW w:w="3055" w:type="dxa"/>
            <w:vAlign w:val="center"/>
          </w:tcPr>
          <w:p w14:paraId="0F1A5D5D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jc w:val="both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第4章</w:t>
            </w:r>
          </w:p>
        </w:tc>
      </w:tr>
      <w:tr w14:paraId="2B5AC8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704" w:type="dxa"/>
            <w:vAlign w:val="center"/>
          </w:tcPr>
          <w:p w14:paraId="2592ABBB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705" w:type="dxa"/>
            <w:vAlign w:val="center"/>
          </w:tcPr>
          <w:p w14:paraId="1FD422D8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jc w:val="both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删除了“电能计量超差（差错）退补方法”一段</w:t>
            </w:r>
          </w:p>
        </w:tc>
        <w:tc>
          <w:tcPr>
            <w:tcW w:w="3055" w:type="dxa"/>
            <w:vAlign w:val="center"/>
          </w:tcPr>
          <w:p w14:paraId="383739C2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jc w:val="both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第4章的悬置段</w:t>
            </w:r>
          </w:p>
        </w:tc>
      </w:tr>
      <w:tr w14:paraId="7C529D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704" w:type="dxa"/>
            <w:vAlign w:val="center"/>
          </w:tcPr>
          <w:p w14:paraId="503582C0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5705" w:type="dxa"/>
            <w:vAlign w:val="center"/>
          </w:tcPr>
          <w:p w14:paraId="43DAF72F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jc w:val="both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增加了“基本要求”一条（见</w:t>
            </w:r>
            <w:r>
              <w:rPr>
                <w:color w:val="000000"/>
                <w:kern w:val="0"/>
                <w:sz w:val="18"/>
                <w:szCs w:val="18"/>
              </w:rPr>
              <w:t>5.1）</w:t>
            </w:r>
          </w:p>
        </w:tc>
        <w:tc>
          <w:tcPr>
            <w:tcW w:w="3055" w:type="dxa"/>
            <w:vAlign w:val="center"/>
          </w:tcPr>
          <w:p w14:paraId="7A80B709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jc w:val="both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6C6362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704" w:type="dxa"/>
            <w:vAlign w:val="center"/>
          </w:tcPr>
          <w:p w14:paraId="6F121097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5705" w:type="dxa"/>
            <w:vAlign w:val="center"/>
          </w:tcPr>
          <w:p w14:paraId="7833A5CA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jc w:val="both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将“计算法”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更改为“公式法”，并将2007版的有关内容更改后纳入（见5.2）</w:t>
            </w:r>
          </w:p>
        </w:tc>
        <w:tc>
          <w:tcPr>
            <w:tcW w:w="3055" w:type="dxa"/>
            <w:vAlign w:val="center"/>
          </w:tcPr>
          <w:p w14:paraId="211936BA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jc w:val="both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4.1.1、4.1.2和4.1.4</w:t>
            </w:r>
          </w:p>
        </w:tc>
      </w:tr>
      <w:tr w14:paraId="6A1F23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704" w:type="dxa"/>
            <w:vAlign w:val="center"/>
          </w:tcPr>
          <w:p w14:paraId="0B58CFAA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5705" w:type="dxa"/>
            <w:vAlign w:val="center"/>
          </w:tcPr>
          <w:p w14:paraId="0C009190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jc w:val="both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将“估算法”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更改为“参照法”，并将2007版的有关内容更改后纳入（见5.3）</w:t>
            </w:r>
          </w:p>
        </w:tc>
        <w:tc>
          <w:tcPr>
            <w:tcW w:w="3055" w:type="dxa"/>
            <w:vAlign w:val="center"/>
          </w:tcPr>
          <w:p w14:paraId="67092CBC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jc w:val="both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4.2.1、4.2.2、4.2.3、4.2.4和4.2.5</w:t>
            </w:r>
          </w:p>
        </w:tc>
      </w:tr>
      <w:tr w14:paraId="61D1A8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704" w:type="dxa"/>
            <w:vAlign w:val="center"/>
          </w:tcPr>
          <w:p w14:paraId="6494BA4C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5705" w:type="dxa"/>
            <w:vAlign w:val="center"/>
          </w:tcPr>
          <w:p w14:paraId="47F03A15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jc w:val="both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增加了“测试法”中的第一段和第三段</w:t>
            </w:r>
            <w:r>
              <w:rPr>
                <w:color w:val="000000"/>
                <w:kern w:val="0"/>
                <w:sz w:val="18"/>
                <w:szCs w:val="18"/>
              </w:rPr>
              <w:t>，并将2007版的有关内容更改后纳入第二段（见5.4）</w:t>
            </w:r>
          </w:p>
        </w:tc>
        <w:tc>
          <w:tcPr>
            <w:tcW w:w="3055" w:type="dxa"/>
            <w:vAlign w:val="center"/>
          </w:tcPr>
          <w:p w14:paraId="7F711ED6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jc w:val="both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4.3</w:t>
            </w:r>
          </w:p>
        </w:tc>
      </w:tr>
      <w:tr w14:paraId="321BC3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704" w:type="dxa"/>
            <w:vAlign w:val="center"/>
          </w:tcPr>
          <w:p w14:paraId="01C10040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705" w:type="dxa"/>
            <w:vAlign w:val="center"/>
          </w:tcPr>
          <w:p w14:paraId="75E1B4D6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jc w:val="both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将“计算”更改为“退补电量计算规则”，并更改了内容（见第</w:t>
            </w:r>
            <w:r>
              <w:rPr>
                <w:color w:val="000000"/>
                <w:kern w:val="0"/>
                <w:sz w:val="18"/>
                <w:szCs w:val="18"/>
              </w:rPr>
              <w:t>6章）</w:t>
            </w:r>
          </w:p>
        </w:tc>
        <w:tc>
          <w:tcPr>
            <w:tcW w:w="3055" w:type="dxa"/>
            <w:vAlign w:val="center"/>
          </w:tcPr>
          <w:p w14:paraId="14E7763B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jc w:val="both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第5章</w:t>
            </w:r>
          </w:p>
        </w:tc>
      </w:tr>
      <w:tr w14:paraId="0FBDA3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704" w:type="dxa"/>
            <w:vAlign w:val="center"/>
          </w:tcPr>
          <w:p w14:paraId="7519C832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705" w:type="dxa"/>
            <w:vAlign w:val="center"/>
          </w:tcPr>
          <w:p w14:paraId="6863D2F0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jc w:val="both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删除了“其他”一章</w:t>
            </w:r>
          </w:p>
        </w:tc>
        <w:tc>
          <w:tcPr>
            <w:tcW w:w="3055" w:type="dxa"/>
            <w:vAlign w:val="center"/>
          </w:tcPr>
          <w:p w14:paraId="7DF1A3CC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jc w:val="both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第6章</w:t>
            </w:r>
          </w:p>
        </w:tc>
      </w:tr>
      <w:tr w14:paraId="2C240E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704" w:type="dxa"/>
            <w:vAlign w:val="center"/>
          </w:tcPr>
          <w:p w14:paraId="2FB16D5A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705" w:type="dxa"/>
            <w:vAlign w:val="center"/>
          </w:tcPr>
          <w:p w14:paraId="15B4CE30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jc w:val="both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增加了“退补电量计算结果判定”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一章（见第7章）</w:t>
            </w:r>
          </w:p>
        </w:tc>
        <w:tc>
          <w:tcPr>
            <w:tcW w:w="3055" w:type="dxa"/>
            <w:vAlign w:val="center"/>
          </w:tcPr>
          <w:p w14:paraId="7A987243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jc w:val="both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5AAF0C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704" w:type="dxa"/>
            <w:vAlign w:val="center"/>
          </w:tcPr>
          <w:p w14:paraId="5798C88C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705" w:type="dxa"/>
            <w:vAlign w:val="center"/>
          </w:tcPr>
          <w:p w14:paraId="4B15B975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jc w:val="both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增加了附录</w:t>
            </w:r>
            <w:r>
              <w:rPr>
                <w:color w:val="000000"/>
                <w:kern w:val="0"/>
                <w:sz w:val="18"/>
                <w:szCs w:val="18"/>
              </w:rPr>
              <w:t>A（见附录A）</w:t>
            </w:r>
          </w:p>
        </w:tc>
        <w:tc>
          <w:tcPr>
            <w:tcW w:w="3055" w:type="dxa"/>
            <w:vAlign w:val="center"/>
          </w:tcPr>
          <w:p w14:paraId="2CFCE193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jc w:val="both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6AD9ED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704" w:type="dxa"/>
            <w:vAlign w:val="center"/>
          </w:tcPr>
          <w:p w14:paraId="19A28174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705" w:type="dxa"/>
            <w:vAlign w:val="center"/>
          </w:tcPr>
          <w:p w14:paraId="5CAA1DE1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jc w:val="both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将</w:t>
            </w:r>
            <w:r>
              <w:rPr>
                <w:color w:val="000000"/>
                <w:kern w:val="0"/>
                <w:sz w:val="18"/>
                <w:szCs w:val="18"/>
              </w:rPr>
              <w:t>2007版的有关内容更改后纳入附录B（见附录B）</w:t>
            </w:r>
          </w:p>
        </w:tc>
        <w:tc>
          <w:tcPr>
            <w:tcW w:w="3055" w:type="dxa"/>
            <w:vAlign w:val="center"/>
          </w:tcPr>
          <w:p w14:paraId="5343AFFF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jc w:val="both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附录A和附录B</w:t>
            </w:r>
          </w:p>
        </w:tc>
      </w:tr>
      <w:tr w14:paraId="546168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exact"/>
        </w:trPr>
        <w:tc>
          <w:tcPr>
            <w:tcW w:w="704" w:type="dxa"/>
            <w:vAlign w:val="center"/>
          </w:tcPr>
          <w:p w14:paraId="2326C53B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705" w:type="dxa"/>
            <w:vAlign w:val="center"/>
          </w:tcPr>
          <w:p w14:paraId="7B0D6089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jc w:val="both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增加了“参考文献”（见参考文献）</w:t>
            </w:r>
          </w:p>
        </w:tc>
        <w:tc>
          <w:tcPr>
            <w:tcW w:w="3055" w:type="dxa"/>
            <w:vAlign w:val="center"/>
          </w:tcPr>
          <w:p w14:paraId="51EA778E">
            <w:pPr>
              <w:widowControl/>
              <w:tabs>
                <w:tab w:val="center" w:pos="4201"/>
                <w:tab w:val="right" w:leader="dot" w:pos="9298"/>
              </w:tabs>
              <w:autoSpaceDE w:val="0"/>
              <w:autoSpaceDN w:val="0"/>
              <w:spacing w:before="120" w:beforeLines="50" w:after="120" w:afterLines="50" w:line="276" w:lineRule="auto"/>
              <w:jc w:val="both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无</w:t>
            </w:r>
          </w:p>
        </w:tc>
      </w:tr>
    </w:tbl>
    <w:p w14:paraId="7D6186D3">
      <w:pPr>
        <w:pStyle w:val="76"/>
        <w:sectPr>
          <w:headerReference r:id="rId13" w:type="default"/>
          <w:footerReference r:id="rId14" w:type="default"/>
          <w:pgSz w:w="11907" w:h="16840"/>
          <w:pgMar w:top="1417" w:right="1134" w:bottom="1134" w:left="1417" w:header="1123" w:footer="1123" w:gutter="0"/>
          <w:pgNumType w:start="1"/>
          <w:cols w:space="720" w:num="1"/>
          <w:docGrid w:linePitch="286" w:charSpace="0"/>
        </w:sectPr>
      </w:pPr>
      <w:bookmarkStart w:id="10" w:name="_Toc214615894"/>
      <w:bookmarkStart w:id="11" w:name="_Toc497087672"/>
      <w:bookmarkStart w:id="12" w:name="_Toc495476952"/>
      <w:bookmarkStart w:id="13" w:name="_Toc10462825"/>
      <w:bookmarkStart w:id="14" w:name="_Toc338340185"/>
    </w:p>
    <w:p w14:paraId="54721C4F">
      <w:pPr>
        <w:pStyle w:val="76"/>
      </w:pPr>
      <w:r>
        <w:rPr>
          <w:rFonts w:hint="eastAsia"/>
        </w:rPr>
        <w:t>主要内容</w:t>
      </w:r>
      <w:bookmarkEnd w:id="10"/>
      <w:bookmarkEnd w:id="11"/>
      <w:bookmarkEnd w:id="12"/>
      <w:bookmarkEnd w:id="13"/>
      <w:bookmarkEnd w:id="14"/>
    </w:p>
    <w:p w14:paraId="64DF29D2">
      <w:pPr>
        <w:pStyle w:val="34"/>
      </w:pPr>
      <w:r>
        <w:rPr>
          <w:rFonts w:hint="eastAsia"/>
        </w:rPr>
        <w:t>本标准共</w:t>
      </w:r>
      <w:r>
        <w:t>7</w:t>
      </w:r>
      <w:r>
        <w:rPr>
          <w:rFonts w:hint="eastAsia"/>
        </w:rPr>
        <w:t>章，其中</w:t>
      </w:r>
      <w:r>
        <w:t>1</w:t>
      </w:r>
      <w:r>
        <w:rPr>
          <w:rFonts w:hint="eastAsia"/>
        </w:rPr>
        <w:t>-3</w:t>
      </w:r>
      <w:r>
        <w:t>章对适用范围、规范性引用文件以及相关术语进行了说明</w:t>
      </w:r>
      <w:r>
        <w:rPr>
          <w:rFonts w:hint="eastAsia"/>
        </w:rPr>
        <w:t>；4</w:t>
      </w:r>
      <w:r>
        <w:t>-7章是标准的主体部分</w:t>
      </w:r>
      <w:r>
        <w:rPr>
          <w:rFonts w:hint="eastAsia"/>
        </w:rPr>
        <w:t>，包括电能计量超差（差错）类型、退补电量计算方法、退补电量计算规则、退补电量计算结果判定；另有附录A</w:t>
      </w:r>
      <w:r>
        <w:t xml:space="preserve"> </w:t>
      </w:r>
      <w:r>
        <w:rPr>
          <w:rFonts w:hint="eastAsia"/>
        </w:rPr>
        <w:t>常用计算公式、附录</w:t>
      </w:r>
      <w:r>
        <w:t xml:space="preserve">B </w:t>
      </w:r>
      <w:r>
        <w:rPr>
          <w:rFonts w:hint="eastAsia"/>
        </w:rPr>
        <w:t>电能表错误接线函数关系（更正系数）计算示例。具体条文说明如下。</w:t>
      </w:r>
    </w:p>
    <w:p w14:paraId="7EA4D276">
      <w:pPr>
        <w:pStyle w:val="34"/>
      </w:pPr>
      <w:r>
        <w:rPr>
          <w:rFonts w:hint="eastAsia"/>
        </w:rPr>
        <w:t>（1）范围</w:t>
      </w:r>
    </w:p>
    <w:p w14:paraId="14E48D7B">
      <w:pPr>
        <w:spacing w:before="120" w:beforeLines="50" w:after="120" w:afterLines="50" w:line="276" w:lineRule="auto"/>
        <w:ind w:firstLine="420" w:firstLineChars="200"/>
        <w:jc w:val="both"/>
        <w:rPr>
          <w:szCs w:val="21"/>
        </w:rPr>
      </w:pPr>
      <w:r>
        <w:rPr>
          <w:rFonts w:hint="eastAsia"/>
          <w:szCs w:val="21"/>
        </w:rPr>
        <w:t>本</w:t>
      </w:r>
      <w:r>
        <w:rPr>
          <w:rFonts w:hint="eastAsia"/>
          <w:szCs w:val="22"/>
        </w:rPr>
        <w:t>文件</w:t>
      </w:r>
      <w:r>
        <w:rPr>
          <w:rFonts w:hint="eastAsia"/>
          <w:szCs w:val="21"/>
        </w:rPr>
        <w:t>规定了电能计量超差（差错）类型、退补电量计算方法及使用规则、计算结果的判定。本文件适用于电力系统模拟量交流电能计量装置超差（差错）有功电量的退补计算。无功电量、数字化电能计量装置超差（差错）电量的退补计算不在本</w:t>
      </w:r>
      <w:r>
        <w:rPr>
          <w:rFonts w:hint="eastAsia"/>
          <w:szCs w:val="22"/>
        </w:rPr>
        <w:t>文件的适用范围，但是某些</w:t>
      </w:r>
      <w:r>
        <w:rPr>
          <w:rFonts w:hint="eastAsia"/>
          <w:color w:val="000000"/>
          <w:szCs w:val="21"/>
        </w:rPr>
        <w:t>计算</w:t>
      </w:r>
      <w:r>
        <w:rPr>
          <w:rFonts w:hint="eastAsia"/>
          <w:szCs w:val="22"/>
        </w:rPr>
        <w:t>规则可以参考</w:t>
      </w:r>
      <w:r>
        <w:rPr>
          <w:rFonts w:hint="eastAsia"/>
          <w:szCs w:val="21"/>
        </w:rPr>
        <w:t>。</w:t>
      </w:r>
    </w:p>
    <w:p w14:paraId="0C5DD481">
      <w:pPr>
        <w:pStyle w:val="34"/>
      </w:pPr>
      <w:r>
        <w:rPr>
          <w:rFonts w:hint="eastAsia"/>
        </w:rPr>
        <w:t>（2）规范性引用文件</w:t>
      </w:r>
    </w:p>
    <w:p w14:paraId="0834D7BE">
      <w:pPr>
        <w:pStyle w:val="34"/>
      </w:pPr>
      <w:r>
        <w:rPr>
          <w:rFonts w:hint="eastAsia"/>
        </w:rPr>
        <w:t>列出了与本标准内容相关的国家计量检定规程</w:t>
      </w:r>
      <w:bookmarkStart w:id="31" w:name="_GoBack"/>
      <w:bookmarkEnd w:id="31"/>
      <w:r>
        <w:rPr>
          <w:rFonts w:hint="eastAsia"/>
        </w:rPr>
        <w:t>5部、电力行业标准2部、地方标准1部。</w:t>
      </w:r>
    </w:p>
    <w:p w14:paraId="388FB3F5">
      <w:pPr>
        <w:pStyle w:val="34"/>
      </w:pPr>
      <w:r>
        <w:rPr>
          <w:rFonts w:hint="eastAsia"/>
        </w:rPr>
        <w:t>（3）术语和定义</w:t>
      </w:r>
    </w:p>
    <w:p w14:paraId="3CD34B3E">
      <w:pPr>
        <w:pStyle w:val="34"/>
      </w:pPr>
      <w:r>
        <w:rPr>
          <w:rFonts w:hint="eastAsia"/>
        </w:rPr>
        <w:t>本标准根据内容需要定义了电能计量器具，修订了原标准中的两个术语定义，即电能计量超差和电能计量差错。</w:t>
      </w:r>
    </w:p>
    <w:p w14:paraId="7C9D7330">
      <w:pPr>
        <w:pStyle w:val="34"/>
      </w:pPr>
      <w:r>
        <w:rPr>
          <w:rFonts w:hint="eastAsia"/>
        </w:rPr>
        <w:t>（4）电能计量超差（差错）类型</w:t>
      </w:r>
    </w:p>
    <w:p w14:paraId="5F6F1FB9">
      <w:pPr>
        <w:pStyle w:val="34"/>
      </w:pPr>
      <w:r>
        <w:rPr>
          <w:rFonts w:hint="eastAsia"/>
        </w:rPr>
        <w:t>本章对电能计量超差（差错）进行分类，包括电能计量超差和</w:t>
      </w:r>
      <w:r>
        <w:t>电能计量差错</w:t>
      </w:r>
      <w:r>
        <w:rPr>
          <w:rFonts w:hint="eastAsia"/>
        </w:rPr>
        <w:t>两大类型。超差类主要指电能计量器具及相关设备超过规程</w:t>
      </w:r>
      <w:r>
        <w:t>规定的误差限值</w:t>
      </w:r>
      <w:r>
        <w:rPr>
          <w:rFonts w:hint="eastAsia"/>
        </w:rPr>
        <w:t>；</w:t>
      </w:r>
      <w:r>
        <w:t>差错</w:t>
      </w:r>
      <w:r>
        <w:rPr>
          <w:rFonts w:hint="eastAsia"/>
        </w:rPr>
        <w:t>类主要指电能计量器具及相关设备发生故障或缺陷、或由于人为操作失当，导致电能计量数据产生错误。对这些缺陷进行分类，除了归纳其特点、性质外，更重要的是采取不同的退补电量计算方法。</w:t>
      </w:r>
    </w:p>
    <w:p w14:paraId="098524E1">
      <w:pPr>
        <w:pStyle w:val="34"/>
      </w:pPr>
      <w:r>
        <w:rPr>
          <w:rFonts w:hint="eastAsia"/>
        </w:rPr>
        <w:t>（5）退补电量计算方法</w:t>
      </w:r>
    </w:p>
    <w:p w14:paraId="0236F8E5">
      <w:pPr>
        <w:pStyle w:val="34"/>
      </w:pPr>
      <w:r>
        <w:rPr>
          <w:rFonts w:hint="eastAsia"/>
        </w:rPr>
        <w:t>本章对退补电量的计算方法进行了说明，内容包括基本要求、公式法、参照法、测试法。</w:t>
      </w:r>
    </w:p>
    <w:p w14:paraId="3F1738CF">
      <w:pPr>
        <w:pStyle w:val="34"/>
      </w:pPr>
      <w:r>
        <w:rPr>
          <w:rFonts w:hint="eastAsia"/>
        </w:rPr>
        <w:t>基本要求是指计算结果追求的目标，在准确性和便利性之间寻求平衡，侧重准确性。</w:t>
      </w:r>
    </w:p>
    <w:p w14:paraId="0B6BB22B">
      <w:pPr>
        <w:pStyle w:val="34"/>
      </w:pPr>
      <w:r>
        <w:rPr>
          <w:rFonts w:hint="eastAsia"/>
        </w:rPr>
        <w:t>将计算方法分成公式法、参照法、测试法三大类。公式法是指利用公式进行较为准确的计算方法；参照法是指在没有公式可用的情况下，利用参照量进行近似计算的方法；测试法是指在既无公式可用、又无参照量的特殊情况下，将计量器具接入计量点或在实验室中模拟现场工况的比对方法。</w:t>
      </w:r>
    </w:p>
    <w:p w14:paraId="147FE8C3">
      <w:pPr>
        <w:pStyle w:val="34"/>
      </w:pPr>
      <w:r>
        <w:rPr>
          <w:rFonts w:hint="eastAsia"/>
        </w:rPr>
        <w:t>（6）退补电量计算规则</w:t>
      </w:r>
    </w:p>
    <w:p w14:paraId="486A7209">
      <w:pPr>
        <w:pStyle w:val="34"/>
      </w:pPr>
      <w:r>
        <w:rPr>
          <w:rFonts w:hint="eastAsia"/>
        </w:rPr>
        <w:t>本章对退补电量的计算规则进行了规范，计算规则是计算时须遵循的原则和框架，内容包括电能计量超差和</w:t>
      </w:r>
      <w:r>
        <w:t>电能计量差错</w:t>
      </w:r>
      <w:r>
        <w:rPr>
          <w:rFonts w:hint="eastAsia"/>
        </w:rPr>
        <w:t>的计算规则两大类。</w:t>
      </w:r>
    </w:p>
    <w:p w14:paraId="03755129">
      <w:pPr>
        <w:pStyle w:val="34"/>
      </w:pPr>
      <w:r>
        <w:rPr>
          <w:rFonts w:hint="eastAsia"/>
        </w:rPr>
        <w:t>第一类电能计量超差的计算规则中包括电能表超差、电流及电压互感器超差、电压互感器二次回路电压降超差、电能表时钟示值超差的计算规则。</w:t>
      </w:r>
    </w:p>
    <w:p w14:paraId="4640F11D">
      <w:pPr>
        <w:pStyle w:val="34"/>
      </w:pPr>
      <w:r>
        <w:rPr>
          <w:rFonts w:hint="eastAsia"/>
        </w:rPr>
        <w:t>第二类</w:t>
      </w:r>
      <w:r>
        <w:t>电能计量差错</w:t>
      </w:r>
      <w:r>
        <w:rPr>
          <w:rFonts w:hint="eastAsia"/>
        </w:rPr>
        <w:t>的计算规则中包括电能计量装置故障或缺陷、电能计量装置接线错误、电能计量装置配置错误、倍率错误、电能表时段设置错误的计算规则。</w:t>
      </w:r>
    </w:p>
    <w:p w14:paraId="65DCEF1F">
      <w:pPr>
        <w:pStyle w:val="34"/>
      </w:pPr>
      <w:r>
        <w:rPr>
          <w:rFonts w:hint="eastAsia"/>
        </w:rPr>
        <w:t>（7）退补电量计算结果判定</w:t>
      </w:r>
    </w:p>
    <w:p w14:paraId="313C0E30">
      <w:pPr>
        <w:pStyle w:val="34"/>
      </w:pPr>
      <w:r>
        <w:rPr>
          <w:rFonts w:hint="eastAsia"/>
        </w:rPr>
        <w:t>本章给出了退补电量计算结果判定的方法，即通过至少两种方法计算出退补电量，并比较各种方法的优劣，进而判定计算过程符合准确性优先、兼顾便利性的要求。</w:t>
      </w:r>
    </w:p>
    <w:p w14:paraId="420411D3">
      <w:pPr>
        <w:pStyle w:val="76"/>
      </w:pPr>
      <w:bookmarkStart w:id="15" w:name="_Toc214615895"/>
      <w:r>
        <w:rPr>
          <w:rFonts w:hint="eastAsia"/>
        </w:rPr>
        <w:t>技术指标确定的依据</w:t>
      </w:r>
      <w:bookmarkEnd w:id="15"/>
    </w:p>
    <w:p w14:paraId="35A99F37">
      <w:pPr>
        <w:pStyle w:val="291"/>
        <w:spacing w:before="120" w:beforeLines="50" w:after="120" w:afterLines="50" w:line="276" w:lineRule="auto"/>
        <w:ind w:firstLine="420"/>
        <w:rPr>
          <w:color w:val="000000"/>
          <w:szCs w:val="21"/>
        </w:rPr>
        <w:sectPr>
          <w:headerReference r:id="rId15" w:type="default"/>
          <w:footerReference r:id="rId16" w:type="default"/>
          <w:pgSz w:w="11907" w:h="16840"/>
          <w:pgMar w:top="1417" w:right="1134" w:bottom="1134" w:left="1417" w:header="1123" w:footer="1123" w:gutter="0"/>
          <w:pgNumType w:start="1"/>
          <w:cols w:space="720" w:num="1"/>
          <w:docGrid w:linePitch="286" w:charSpace="0"/>
        </w:sectPr>
      </w:pPr>
    </w:p>
    <w:p w14:paraId="73EBC339">
      <w:pPr>
        <w:pStyle w:val="291"/>
        <w:spacing w:before="120" w:beforeLines="50" w:after="120" w:afterLines="50" w:line="276" w:lineRule="auto"/>
        <w:ind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本标准中电能表误差限的依据为</w:t>
      </w:r>
      <w:r>
        <w:rPr>
          <w:color w:val="000000"/>
          <w:szCs w:val="21"/>
        </w:rPr>
        <w:t>JJG 307、JJG 596、DL/T 1664</w:t>
      </w:r>
      <w:r>
        <w:rPr>
          <w:rFonts w:hint="eastAsia"/>
          <w:color w:val="000000"/>
          <w:szCs w:val="21"/>
        </w:rPr>
        <w:t>；电流互感器误差限的依据为</w:t>
      </w:r>
      <w:r>
        <w:rPr>
          <w:color w:val="000000"/>
          <w:szCs w:val="21"/>
        </w:rPr>
        <w:t>JJG 1189.3</w:t>
      </w:r>
      <w:r>
        <w:rPr>
          <w:rFonts w:hint="eastAsia"/>
          <w:color w:val="000000"/>
          <w:szCs w:val="21"/>
        </w:rPr>
        <w:t>；电压互感器误差限的依据为</w:t>
      </w:r>
      <w:r>
        <w:rPr>
          <w:color w:val="000000"/>
          <w:szCs w:val="21"/>
        </w:rPr>
        <w:t>JJG 1189.4</w:t>
      </w:r>
      <w:r>
        <w:rPr>
          <w:rFonts w:hint="eastAsia"/>
          <w:color w:val="000000"/>
          <w:szCs w:val="21"/>
        </w:rPr>
        <w:t>；电压互感器二次回路电压降误差限的依据为</w:t>
      </w:r>
      <w:r>
        <w:rPr>
          <w:color w:val="000000"/>
          <w:szCs w:val="21"/>
        </w:rPr>
        <w:t>DL/T 1664</w:t>
      </w:r>
      <w:r>
        <w:rPr>
          <w:rFonts w:hint="eastAsia"/>
          <w:color w:val="000000"/>
          <w:szCs w:val="21"/>
        </w:rPr>
        <w:t>；电能表时钟示值误差限的依据为</w:t>
      </w:r>
      <w:r>
        <w:rPr>
          <w:color w:val="000000"/>
          <w:szCs w:val="21"/>
        </w:rPr>
        <w:t>JJG 691</w:t>
      </w:r>
      <w:r>
        <w:rPr>
          <w:rFonts w:hint="eastAsia"/>
          <w:color w:val="000000"/>
          <w:szCs w:val="21"/>
        </w:rPr>
        <w:t>。</w:t>
      </w:r>
    </w:p>
    <w:p w14:paraId="688EBFD1">
      <w:pPr>
        <w:pStyle w:val="291"/>
        <w:spacing w:before="120" w:beforeLines="50" w:after="120" w:afterLines="50" w:line="276" w:lineRule="auto"/>
        <w:ind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本标准6</w:t>
      </w:r>
      <w:r>
        <w:rPr>
          <w:color w:val="000000"/>
          <w:szCs w:val="21"/>
        </w:rPr>
        <w:t>.1.1 d</w:t>
      </w:r>
      <w:r>
        <w:rPr>
          <w:rFonts w:hint="eastAsia"/>
          <w:color w:val="000000"/>
          <w:szCs w:val="21"/>
        </w:rPr>
        <w:t>）电能表超差的退补时间，6</w:t>
      </w:r>
      <w:r>
        <w:rPr>
          <w:color w:val="000000"/>
          <w:szCs w:val="21"/>
        </w:rPr>
        <w:t>.1.2 d</w:t>
      </w:r>
      <w:r>
        <w:rPr>
          <w:rFonts w:hint="eastAsia"/>
          <w:color w:val="000000"/>
          <w:szCs w:val="21"/>
        </w:rPr>
        <w:t>）电流、电压互感器超差的退补时间，6</w:t>
      </w:r>
      <w:r>
        <w:rPr>
          <w:color w:val="000000"/>
          <w:szCs w:val="21"/>
        </w:rPr>
        <w:t>.1.4</w:t>
      </w:r>
      <w:r>
        <w:rPr>
          <w:rFonts w:hint="eastAsia"/>
          <w:color w:val="000000"/>
          <w:szCs w:val="21"/>
        </w:rPr>
        <w:t>电能表时钟示值超差的退补时间，参考了</w:t>
      </w:r>
      <w:r>
        <w:rPr>
          <w:rFonts w:hint="eastAsia"/>
          <w:szCs w:val="21"/>
        </w:rPr>
        <w:t>《供电营业规则》（国家发改委</w:t>
      </w:r>
      <w:r>
        <w:rPr>
          <w:szCs w:val="21"/>
        </w:rPr>
        <w:t>2024年2月8日</w:t>
      </w:r>
      <w:r>
        <w:rPr>
          <w:rFonts w:hint="eastAsia"/>
          <w:szCs w:val="21"/>
        </w:rPr>
        <w:t>发布，以下同）</w:t>
      </w:r>
      <w:r>
        <w:rPr>
          <w:rFonts w:hint="eastAsia"/>
          <w:color w:val="000000"/>
          <w:szCs w:val="21"/>
        </w:rPr>
        <w:t>第八十二条（一）的退补时间，并加以修正。</w:t>
      </w:r>
    </w:p>
    <w:p w14:paraId="21BE5324">
      <w:pPr>
        <w:pStyle w:val="291"/>
        <w:spacing w:before="120" w:beforeLines="50" w:after="120" w:afterLines="50" w:line="276" w:lineRule="auto"/>
        <w:ind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本标准6</w:t>
      </w:r>
      <w:r>
        <w:rPr>
          <w:color w:val="000000"/>
          <w:szCs w:val="21"/>
        </w:rPr>
        <w:t>.1.3 e</w:t>
      </w:r>
      <w:r>
        <w:rPr>
          <w:rFonts w:hint="eastAsia"/>
          <w:color w:val="000000"/>
          <w:szCs w:val="21"/>
        </w:rPr>
        <w:t>）电压互感器二次回路电压降超差的退补时间中，下网电量的退补时间依据</w:t>
      </w:r>
      <w:r>
        <w:rPr>
          <w:rFonts w:hint="eastAsia"/>
          <w:szCs w:val="21"/>
        </w:rPr>
        <w:t>《供电营业规则》第八十二条（二）；上网电量的退补时间参考了《供电营业规则》第八十二条（一）</w:t>
      </w:r>
      <w:r>
        <w:rPr>
          <w:rFonts w:hint="eastAsia"/>
          <w:color w:val="000000"/>
          <w:szCs w:val="21"/>
        </w:rPr>
        <w:t>的退补时间，并加以修正。</w:t>
      </w:r>
    </w:p>
    <w:p w14:paraId="036EC7B3">
      <w:pPr>
        <w:pStyle w:val="76"/>
      </w:pPr>
      <w:bookmarkStart w:id="16" w:name="_Toc214615896"/>
      <w:r>
        <w:rPr>
          <w:rFonts w:hint="eastAsia"/>
        </w:rPr>
        <w:t>重大分歧意见的处理过程和依据</w:t>
      </w:r>
      <w:bookmarkEnd w:id="16"/>
    </w:p>
    <w:p w14:paraId="27FEF28B">
      <w:pPr>
        <w:pStyle w:val="34"/>
      </w:pPr>
      <w:r>
        <w:rPr>
          <w:rFonts w:hint="eastAsia"/>
        </w:rPr>
        <w:t>本标准在编写过程中，对6</w:t>
      </w:r>
      <w:r>
        <w:t>.1.4</w:t>
      </w:r>
      <w:r>
        <w:rPr>
          <w:rFonts w:hint="eastAsia"/>
        </w:rPr>
        <w:t>电能表时钟示值超差的退补电量计算方法的先后顺序存在争议。计算方法共有三个，分别是第一重新划分时段，第二按相似时间段电量比率推算，第三引用电能量采集系统中的电量。经过充分沟通，多数人形成共识，先后顺序应该是第一、第二、第三。原因是第一种方法虽然需要很多条件，但理论正确，且计算结果比较准确；第二种方法准确性较差，但简便易用，是常用的方法；第三种方法既理论正确，又简便易用，计算结果也比较准确，但没有合法性，只能和当事方协商使用。</w:t>
      </w:r>
    </w:p>
    <w:p w14:paraId="0D439216">
      <w:pPr>
        <w:pStyle w:val="76"/>
        <w:rPr>
          <w:color w:val="000000"/>
        </w:rPr>
      </w:pPr>
      <w:bookmarkStart w:id="17" w:name="_Toc214615897"/>
      <w:r>
        <w:rPr>
          <w:rFonts w:hint="eastAsia"/>
        </w:rPr>
        <w:t>与相关</w:t>
      </w:r>
      <w:r>
        <w:t>法律法规</w:t>
      </w:r>
      <w:r>
        <w:rPr>
          <w:rFonts w:hint="eastAsia"/>
        </w:rPr>
        <w:t>和标准的关系</w:t>
      </w:r>
      <w:bookmarkEnd w:id="17"/>
      <w:bookmarkStart w:id="18" w:name="_Toc341174419"/>
      <w:bookmarkStart w:id="19" w:name="_Toc341174522"/>
      <w:bookmarkStart w:id="20" w:name="_Toc339983443"/>
      <w:bookmarkStart w:id="21" w:name="_Toc339983339"/>
      <w:bookmarkStart w:id="22" w:name="_Toc341173695"/>
      <w:bookmarkStart w:id="23" w:name="_Toc341173331"/>
      <w:bookmarkStart w:id="24" w:name="_Toc217894510"/>
    </w:p>
    <w:p w14:paraId="57FDA9E4">
      <w:pPr>
        <w:pStyle w:val="34"/>
      </w:pPr>
      <w:r>
        <w:rPr>
          <w:rFonts w:hint="eastAsia"/>
        </w:rPr>
        <w:t>本</w:t>
      </w:r>
      <w:r>
        <w:t>标准</w:t>
      </w:r>
      <w:r>
        <w:rPr>
          <w:rFonts w:hint="eastAsia"/>
        </w:rPr>
        <w:t>涉及的有关计量的条款符合《中华人民共和国计量法》及《中华人民共和国计量法实施细则》的规定。本</w:t>
      </w:r>
      <w:r>
        <w:t>标准</w:t>
      </w:r>
      <w:r>
        <w:rPr>
          <w:rFonts w:hint="eastAsia"/>
        </w:rPr>
        <w:t>引用了五部国家计量检定规程。</w:t>
      </w:r>
    </w:p>
    <w:p w14:paraId="15E7CCA0">
      <w:pPr>
        <w:pStyle w:val="34"/>
      </w:pPr>
      <w:r>
        <w:t>本标准</w:t>
      </w:r>
      <w:r>
        <w:rPr>
          <w:rFonts w:hint="eastAsia"/>
        </w:rPr>
        <w:t>涉及的有关电力的条款符合《中华人民共和国电力法》的规定。本</w:t>
      </w:r>
      <w:r>
        <w:t>标准</w:t>
      </w:r>
      <w:r>
        <w:rPr>
          <w:rFonts w:hint="eastAsia"/>
        </w:rPr>
        <w:t>引用了两部电力行业标准。</w:t>
      </w:r>
    </w:p>
    <w:p w14:paraId="047D57DF">
      <w:pPr>
        <w:pStyle w:val="34"/>
      </w:pPr>
      <w:r>
        <w:rPr>
          <w:rFonts w:hint="eastAsia"/>
        </w:rPr>
        <w:t>本</w:t>
      </w:r>
      <w:r>
        <w:t>标准</w:t>
      </w:r>
      <w:r>
        <w:rPr>
          <w:rFonts w:hint="eastAsia"/>
        </w:rPr>
        <w:t>涉及的有关退补电量的条款符合《供电营业规则》的规定，本</w:t>
      </w:r>
      <w:r>
        <w:t>标准</w:t>
      </w:r>
      <w:r>
        <w:rPr>
          <w:rFonts w:hint="eastAsia"/>
        </w:rPr>
        <w:t>引用了</w:t>
      </w:r>
      <w:r>
        <w:rPr>
          <w:rFonts w:hint="eastAsia"/>
          <w:color w:val="auto"/>
        </w:rPr>
        <w:t>《供电营业规则》</w:t>
      </w:r>
      <w:r>
        <w:rPr>
          <w:rFonts w:hint="eastAsia"/>
        </w:rPr>
        <w:t>中的部分内容，包括第八十二和第八十三条，并细化完善了其中的一些规定。</w:t>
      </w:r>
    </w:p>
    <w:bookmarkEnd w:id="18"/>
    <w:bookmarkEnd w:id="19"/>
    <w:bookmarkEnd w:id="20"/>
    <w:bookmarkEnd w:id="21"/>
    <w:bookmarkEnd w:id="22"/>
    <w:bookmarkEnd w:id="23"/>
    <w:bookmarkEnd w:id="24"/>
    <w:p w14:paraId="27E23B57">
      <w:pPr>
        <w:pStyle w:val="76"/>
      </w:pPr>
      <w:bookmarkStart w:id="25" w:name="_Toc214615898"/>
      <w:bookmarkStart w:id="26" w:name="_Toc497087669"/>
      <w:bookmarkStart w:id="27" w:name="_Toc338340182"/>
      <w:bookmarkStart w:id="28" w:name="_Toc495476949"/>
      <w:bookmarkStart w:id="29" w:name="_Toc10462822"/>
      <w:r>
        <w:rPr>
          <w:rFonts w:hint="eastAsia"/>
        </w:rPr>
        <w:t>推广</w:t>
      </w:r>
      <w:r>
        <w:t>实施</w:t>
      </w:r>
      <w:r>
        <w:rPr>
          <w:rFonts w:hint="eastAsia"/>
        </w:rPr>
        <w:t>建议</w:t>
      </w:r>
      <w:bookmarkEnd w:id="25"/>
    </w:p>
    <w:p w14:paraId="5411E562">
      <w:pPr>
        <w:pStyle w:val="34"/>
      </w:pPr>
      <w:r>
        <w:rPr>
          <w:rFonts w:hint="eastAsia"/>
        </w:rPr>
        <w:t>本标准</w:t>
      </w:r>
      <w:r>
        <w:t>由</w:t>
      </w:r>
      <w:r>
        <w:rPr>
          <w:rFonts w:hint="eastAsia"/>
        </w:rPr>
        <w:t>江苏省电力标准化技术委员会提出并归口，建议</w:t>
      </w:r>
      <w:r>
        <w:t>联合起草单位对标准适用范围相关主体进行解读，对标准适用场景进行宣贯并推广应用。</w:t>
      </w:r>
    </w:p>
    <w:p w14:paraId="51862D24">
      <w:pPr>
        <w:pStyle w:val="76"/>
      </w:pPr>
      <w:bookmarkStart w:id="30" w:name="_Toc214615899"/>
      <w:r>
        <w:rPr>
          <w:rFonts w:hint="eastAsia"/>
        </w:rPr>
        <w:t>起草单位和起草人员信息及分工</w:t>
      </w:r>
      <w:bookmarkEnd w:id="30"/>
    </w:p>
    <w:p w14:paraId="41D32BD2">
      <w:pPr>
        <w:pStyle w:val="34"/>
      </w:pPr>
    </w:p>
    <w:p w14:paraId="131EBF69">
      <w:pPr>
        <w:pStyle w:val="34"/>
      </w:pPr>
    </w:p>
    <w:p w14:paraId="34982211">
      <w:pPr>
        <w:pStyle w:val="34"/>
      </w:pPr>
    </w:p>
    <w:p w14:paraId="5414C928">
      <w:pPr>
        <w:pStyle w:val="34"/>
      </w:pPr>
    </w:p>
    <w:p w14:paraId="61C39E69">
      <w:pPr>
        <w:pStyle w:val="34"/>
      </w:pPr>
    </w:p>
    <w:p w14:paraId="2B46B645">
      <w:pPr>
        <w:pStyle w:val="34"/>
      </w:pPr>
    </w:p>
    <w:p w14:paraId="04AA00C9">
      <w:pPr>
        <w:pStyle w:val="34"/>
        <w:ind w:firstLine="0" w:firstLineChars="0"/>
        <w:sectPr>
          <w:headerReference r:id="rId17" w:type="default"/>
          <w:footerReference r:id="rId18" w:type="default"/>
          <w:pgSz w:w="11907" w:h="16840"/>
          <w:pgMar w:top="1417" w:right="1134" w:bottom="1134" w:left="1417" w:header="1123" w:footer="1123" w:gutter="0"/>
          <w:pgNumType w:start="1"/>
          <w:cols w:space="720" w:num="1"/>
          <w:docGrid w:linePitch="286" w:charSpace="0"/>
        </w:sectPr>
      </w:pPr>
    </w:p>
    <w:tbl>
      <w:tblPr>
        <w:tblStyle w:val="4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4394"/>
        <w:gridCol w:w="1560"/>
        <w:gridCol w:w="1855"/>
      </w:tblGrid>
      <w:tr w14:paraId="5AAAC29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05" w:type="dxa"/>
            <w:vAlign w:val="center"/>
          </w:tcPr>
          <w:p w14:paraId="31708579">
            <w:pPr>
              <w:adjustRightInd w:val="0"/>
              <w:snapToGrid w:val="0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kern w:val="0"/>
                <w:sz w:val="18"/>
                <w:szCs w:val="18"/>
              </w:rPr>
              <w:t>姓名</w:t>
            </w:r>
          </w:p>
        </w:tc>
        <w:tc>
          <w:tcPr>
            <w:tcW w:w="4394" w:type="dxa"/>
            <w:vAlign w:val="center"/>
          </w:tcPr>
          <w:p w14:paraId="7B61278F">
            <w:pPr>
              <w:adjustRightInd w:val="0"/>
              <w:snapToGrid w:val="0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kern w:val="0"/>
                <w:sz w:val="18"/>
                <w:szCs w:val="18"/>
              </w:rPr>
              <w:t>单位</w:t>
            </w:r>
          </w:p>
        </w:tc>
        <w:tc>
          <w:tcPr>
            <w:tcW w:w="1560" w:type="dxa"/>
            <w:vAlign w:val="center"/>
          </w:tcPr>
          <w:p w14:paraId="0154CA98">
            <w:pPr>
              <w:adjustRightInd w:val="0"/>
              <w:snapToGrid w:val="0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kern w:val="0"/>
                <w:sz w:val="18"/>
                <w:szCs w:val="18"/>
              </w:rPr>
              <w:t>职称</w:t>
            </w:r>
          </w:p>
        </w:tc>
        <w:tc>
          <w:tcPr>
            <w:tcW w:w="1855" w:type="dxa"/>
            <w:vAlign w:val="center"/>
          </w:tcPr>
          <w:p w14:paraId="0BBCEFCF">
            <w:pPr>
              <w:adjustRightInd w:val="0"/>
              <w:snapToGrid w:val="0"/>
              <w:rPr>
                <w:rFonts w:asciiTheme="minorEastAsia" w:hAnsi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bCs/>
                <w:kern w:val="0"/>
                <w:sz w:val="18"/>
                <w:szCs w:val="18"/>
              </w:rPr>
              <w:t>分工</w:t>
            </w:r>
          </w:p>
        </w:tc>
      </w:tr>
      <w:tr w14:paraId="1E2898B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Align w:val="center"/>
          </w:tcPr>
          <w:p w14:paraId="6FDF0C81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徐敏锐</w:t>
            </w:r>
          </w:p>
        </w:tc>
        <w:tc>
          <w:tcPr>
            <w:tcW w:w="4394" w:type="dxa"/>
            <w:vAlign w:val="center"/>
          </w:tcPr>
          <w:p w14:paraId="6CD3CFC5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国网江苏省电力有限公司营销服务中心</w:t>
            </w:r>
          </w:p>
        </w:tc>
        <w:tc>
          <w:tcPr>
            <w:tcW w:w="1560" w:type="dxa"/>
            <w:vAlign w:val="center"/>
          </w:tcPr>
          <w:p w14:paraId="3CE0A596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研究员级高级工程师/二级专家</w:t>
            </w:r>
          </w:p>
        </w:tc>
        <w:tc>
          <w:tcPr>
            <w:tcW w:w="1855" w:type="dxa"/>
            <w:vAlign w:val="center"/>
          </w:tcPr>
          <w:p w14:paraId="0BC7031C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总体协调，文本审核</w:t>
            </w:r>
          </w:p>
        </w:tc>
      </w:tr>
      <w:tr w14:paraId="4BE0BA6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Align w:val="center"/>
          </w:tcPr>
          <w:p w14:paraId="67E4E23E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陈霄</w:t>
            </w:r>
          </w:p>
        </w:tc>
        <w:tc>
          <w:tcPr>
            <w:tcW w:w="4394" w:type="dxa"/>
            <w:vAlign w:val="center"/>
          </w:tcPr>
          <w:p w14:paraId="65C2D49E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国网江苏省电力有限公司</w:t>
            </w:r>
          </w:p>
        </w:tc>
        <w:tc>
          <w:tcPr>
            <w:tcW w:w="1560" w:type="dxa"/>
            <w:vAlign w:val="center"/>
          </w:tcPr>
          <w:p w14:paraId="4AFCB3BF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教授级高级工程师/处长</w:t>
            </w:r>
          </w:p>
        </w:tc>
        <w:tc>
          <w:tcPr>
            <w:tcW w:w="1855" w:type="dxa"/>
            <w:vAlign w:val="center"/>
          </w:tcPr>
          <w:p w14:paraId="12B8CBB4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修订管理</w:t>
            </w:r>
          </w:p>
        </w:tc>
      </w:tr>
      <w:tr w14:paraId="095EDB7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Align w:val="center"/>
          </w:tcPr>
          <w:p w14:paraId="5F2D1723">
            <w:pPr>
              <w:adjustRightInd w:val="0"/>
              <w:snapToGrid w:val="0"/>
              <w:rPr>
                <w:rFonts w:asciiTheme="minorEastAsia" w:hAnsiTheme="minor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李志新</w:t>
            </w:r>
          </w:p>
        </w:tc>
        <w:tc>
          <w:tcPr>
            <w:tcW w:w="4394" w:type="dxa"/>
            <w:vAlign w:val="center"/>
          </w:tcPr>
          <w:p w14:paraId="465E5BBE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国网江苏省电力有限公司营销服务中心</w:t>
            </w:r>
          </w:p>
        </w:tc>
        <w:tc>
          <w:tcPr>
            <w:tcW w:w="1560" w:type="dxa"/>
          </w:tcPr>
          <w:p w14:paraId="02AFE2AF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研究员级高级工程师</w:t>
            </w:r>
            <w:r>
              <w:rPr>
                <w:rFonts w:hint="eastAsia"/>
                <w:sz w:val="18"/>
                <w:szCs w:val="18"/>
              </w:rPr>
              <w:t>/部门主任</w:t>
            </w:r>
          </w:p>
        </w:tc>
        <w:tc>
          <w:tcPr>
            <w:tcW w:w="1855" w:type="dxa"/>
            <w:vAlign w:val="center"/>
          </w:tcPr>
          <w:p w14:paraId="15E41BF5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修订管理</w:t>
            </w:r>
          </w:p>
        </w:tc>
      </w:tr>
      <w:tr w14:paraId="1F210B1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Align w:val="center"/>
          </w:tcPr>
          <w:p w14:paraId="711932BC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李林</w:t>
            </w:r>
          </w:p>
        </w:tc>
        <w:tc>
          <w:tcPr>
            <w:tcW w:w="4394" w:type="dxa"/>
            <w:vAlign w:val="center"/>
          </w:tcPr>
          <w:p w14:paraId="3D49CBD8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江苏省计量科学研究院（江苏省能源计量数据中心）</w:t>
            </w:r>
          </w:p>
        </w:tc>
        <w:tc>
          <w:tcPr>
            <w:tcW w:w="1560" w:type="dxa"/>
            <w:vAlign w:val="center"/>
          </w:tcPr>
          <w:p w14:paraId="584CE829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研究员级高级工程师</w:t>
            </w:r>
          </w:p>
        </w:tc>
        <w:tc>
          <w:tcPr>
            <w:tcW w:w="1855" w:type="dxa"/>
            <w:vAlign w:val="center"/>
          </w:tcPr>
          <w:p w14:paraId="0021178C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修订管理</w:t>
            </w:r>
          </w:p>
        </w:tc>
      </w:tr>
      <w:tr w14:paraId="4AE3141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Align w:val="center"/>
          </w:tcPr>
          <w:p w14:paraId="43AB8AE5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吴桥</w:t>
            </w:r>
          </w:p>
        </w:tc>
        <w:tc>
          <w:tcPr>
            <w:tcW w:w="4394" w:type="dxa"/>
            <w:vAlign w:val="center"/>
          </w:tcPr>
          <w:p w14:paraId="1B63FE9F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国网江苏省电力有限公司营销服务中心</w:t>
            </w:r>
          </w:p>
        </w:tc>
        <w:tc>
          <w:tcPr>
            <w:tcW w:w="1560" w:type="dxa"/>
            <w:vAlign w:val="center"/>
          </w:tcPr>
          <w:p w14:paraId="3DAF9BD8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高级工程师/专责</w:t>
            </w:r>
          </w:p>
        </w:tc>
        <w:tc>
          <w:tcPr>
            <w:tcW w:w="1855" w:type="dxa"/>
            <w:vAlign w:val="center"/>
          </w:tcPr>
          <w:p w14:paraId="130CDF70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资料研究，文本编制</w:t>
            </w:r>
          </w:p>
        </w:tc>
      </w:tr>
      <w:tr w14:paraId="60ED8AF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Align w:val="center"/>
          </w:tcPr>
          <w:p w14:paraId="6DE13C91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许道强</w:t>
            </w:r>
          </w:p>
        </w:tc>
        <w:tc>
          <w:tcPr>
            <w:tcW w:w="4394" w:type="dxa"/>
            <w:vAlign w:val="center"/>
          </w:tcPr>
          <w:p w14:paraId="75B81E69">
            <w:pPr>
              <w:adjustRightInd w:val="0"/>
              <w:snapToGrid w:val="0"/>
              <w:rPr>
                <w:rFonts w:asciiTheme="minorEastAsia" w:hAnsiTheme="minorEastAsia"/>
                <w:color w:val="0000FF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国网江苏省电力有限公司</w:t>
            </w:r>
          </w:p>
        </w:tc>
        <w:tc>
          <w:tcPr>
            <w:tcW w:w="1560" w:type="dxa"/>
            <w:vAlign w:val="center"/>
          </w:tcPr>
          <w:p w14:paraId="5B387016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研究员级高级工程师/</w:t>
            </w:r>
            <w:r>
              <w:rPr>
                <w:rFonts w:asciiTheme="minorEastAsia" w:hAnsiTheme="minorEastAsia"/>
                <w:kern w:val="0"/>
                <w:sz w:val="18"/>
                <w:szCs w:val="18"/>
              </w:rPr>
              <w:t>处长</w:t>
            </w:r>
          </w:p>
        </w:tc>
        <w:tc>
          <w:tcPr>
            <w:tcW w:w="1855" w:type="dxa"/>
            <w:vAlign w:val="center"/>
          </w:tcPr>
          <w:p w14:paraId="3C9FA0F8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文本编制</w:t>
            </w:r>
          </w:p>
        </w:tc>
      </w:tr>
      <w:tr w14:paraId="13226ED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Align w:val="center"/>
          </w:tcPr>
          <w:p w14:paraId="3613FEB5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王忠东</w:t>
            </w:r>
          </w:p>
        </w:tc>
        <w:tc>
          <w:tcPr>
            <w:tcW w:w="4394" w:type="dxa"/>
            <w:vAlign w:val="center"/>
          </w:tcPr>
          <w:p w14:paraId="6E605086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国网江苏省电力有限公司营销服务中心</w:t>
            </w:r>
          </w:p>
        </w:tc>
        <w:tc>
          <w:tcPr>
            <w:tcW w:w="1560" w:type="dxa"/>
            <w:vAlign w:val="center"/>
          </w:tcPr>
          <w:p w14:paraId="2DF9F763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教授级高级工程师/二级专家</w:t>
            </w:r>
          </w:p>
        </w:tc>
        <w:tc>
          <w:tcPr>
            <w:tcW w:w="1855" w:type="dxa"/>
            <w:vAlign w:val="center"/>
          </w:tcPr>
          <w:p w14:paraId="2732E5C1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文本审核</w:t>
            </w:r>
          </w:p>
        </w:tc>
      </w:tr>
      <w:tr w14:paraId="765E1A8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Align w:val="center"/>
          </w:tcPr>
          <w:p w14:paraId="08AE037B">
            <w:pPr>
              <w:adjustRightInd w:val="0"/>
              <w:snapToGrid w:val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钱旭盛</w:t>
            </w:r>
          </w:p>
        </w:tc>
        <w:tc>
          <w:tcPr>
            <w:tcW w:w="4394" w:type="dxa"/>
            <w:vAlign w:val="center"/>
          </w:tcPr>
          <w:p w14:paraId="7801E70D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国网江苏省电力有限公司营销服务中心</w:t>
            </w:r>
          </w:p>
        </w:tc>
        <w:tc>
          <w:tcPr>
            <w:tcW w:w="1560" w:type="dxa"/>
            <w:vAlign w:val="center"/>
          </w:tcPr>
          <w:p w14:paraId="3E4616B2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高级工程师/部门主任</w:t>
            </w:r>
          </w:p>
        </w:tc>
        <w:tc>
          <w:tcPr>
            <w:tcW w:w="1855" w:type="dxa"/>
            <w:vAlign w:val="center"/>
          </w:tcPr>
          <w:p w14:paraId="61DF596E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文本审核</w:t>
            </w:r>
          </w:p>
        </w:tc>
      </w:tr>
      <w:tr w14:paraId="7FE7EA0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Align w:val="center"/>
          </w:tcPr>
          <w:p w14:paraId="3DFF747A">
            <w:pPr>
              <w:adjustRightInd w:val="0"/>
              <w:snapToGrid w:val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卢树峰</w:t>
            </w:r>
          </w:p>
        </w:tc>
        <w:tc>
          <w:tcPr>
            <w:tcW w:w="4394" w:type="dxa"/>
            <w:vAlign w:val="center"/>
          </w:tcPr>
          <w:p w14:paraId="341DA4A4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国网江苏省电力有限公司营销服务中心</w:t>
            </w:r>
          </w:p>
        </w:tc>
        <w:tc>
          <w:tcPr>
            <w:tcW w:w="1560" w:type="dxa"/>
            <w:vAlign w:val="center"/>
          </w:tcPr>
          <w:p w14:paraId="4B2C42DF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研究员级高级工程师/部门书记</w:t>
            </w:r>
          </w:p>
        </w:tc>
        <w:tc>
          <w:tcPr>
            <w:tcW w:w="1855" w:type="dxa"/>
            <w:vAlign w:val="center"/>
          </w:tcPr>
          <w:p w14:paraId="0E8C0DF9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文本审核</w:t>
            </w:r>
          </w:p>
        </w:tc>
      </w:tr>
      <w:tr w14:paraId="017A3CE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Align w:val="center"/>
          </w:tcPr>
          <w:p w14:paraId="75BF3B28">
            <w:pPr>
              <w:adjustRightInd w:val="0"/>
              <w:snapToGrid w:val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纪峰</w:t>
            </w:r>
          </w:p>
        </w:tc>
        <w:tc>
          <w:tcPr>
            <w:tcW w:w="4394" w:type="dxa"/>
            <w:vAlign w:val="center"/>
          </w:tcPr>
          <w:p w14:paraId="1E1395FD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国网江苏省电力有限公司营销服务中心</w:t>
            </w:r>
          </w:p>
        </w:tc>
        <w:tc>
          <w:tcPr>
            <w:tcW w:w="1560" w:type="dxa"/>
            <w:vAlign w:val="center"/>
          </w:tcPr>
          <w:p w14:paraId="66765329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高级工程师/部门副主任</w:t>
            </w:r>
          </w:p>
        </w:tc>
        <w:tc>
          <w:tcPr>
            <w:tcW w:w="1855" w:type="dxa"/>
            <w:vAlign w:val="center"/>
          </w:tcPr>
          <w:p w14:paraId="7A91D4E5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文本编制</w:t>
            </w:r>
          </w:p>
        </w:tc>
      </w:tr>
      <w:tr w14:paraId="6F8A050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Align w:val="center"/>
          </w:tcPr>
          <w:p w14:paraId="2AA75780">
            <w:pPr>
              <w:adjustRightInd w:val="0"/>
              <w:snapToGrid w:val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赵品彰</w:t>
            </w:r>
          </w:p>
        </w:tc>
        <w:tc>
          <w:tcPr>
            <w:tcW w:w="4394" w:type="dxa"/>
            <w:vAlign w:val="center"/>
          </w:tcPr>
          <w:p w14:paraId="5C6D086B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江苏省计量科学研究院（江苏省能源计量数据中心）</w:t>
            </w:r>
          </w:p>
        </w:tc>
        <w:tc>
          <w:tcPr>
            <w:tcW w:w="1560" w:type="dxa"/>
            <w:vAlign w:val="center"/>
          </w:tcPr>
          <w:p w14:paraId="26AF68D8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研究员级高级工程师/所长</w:t>
            </w:r>
          </w:p>
        </w:tc>
        <w:tc>
          <w:tcPr>
            <w:tcW w:w="1855" w:type="dxa"/>
            <w:vAlign w:val="center"/>
          </w:tcPr>
          <w:p w14:paraId="6344C0DB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文本审核</w:t>
            </w:r>
          </w:p>
        </w:tc>
      </w:tr>
      <w:tr w14:paraId="09EBBC5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Align w:val="center"/>
          </w:tcPr>
          <w:p w14:paraId="6DEDCCEF">
            <w:pPr>
              <w:adjustRightInd w:val="0"/>
              <w:snapToGrid w:val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潘宝祥</w:t>
            </w:r>
          </w:p>
        </w:tc>
        <w:tc>
          <w:tcPr>
            <w:tcW w:w="4394" w:type="dxa"/>
            <w:vAlign w:val="center"/>
          </w:tcPr>
          <w:p w14:paraId="6EB46803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江苏省计量科学研究院（江苏省能源计量数据中心）</w:t>
            </w:r>
          </w:p>
        </w:tc>
        <w:tc>
          <w:tcPr>
            <w:tcW w:w="1560" w:type="dxa"/>
            <w:vAlign w:val="center"/>
          </w:tcPr>
          <w:p w14:paraId="7A6B57EE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研究员级高级工程师</w:t>
            </w:r>
          </w:p>
        </w:tc>
        <w:tc>
          <w:tcPr>
            <w:tcW w:w="1855" w:type="dxa"/>
            <w:vAlign w:val="center"/>
          </w:tcPr>
          <w:p w14:paraId="74323448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文本编制</w:t>
            </w:r>
          </w:p>
        </w:tc>
      </w:tr>
      <w:tr w14:paraId="509883B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Align w:val="center"/>
          </w:tcPr>
          <w:p w14:paraId="516D7E67">
            <w:pPr>
              <w:adjustRightInd w:val="0"/>
              <w:snapToGrid w:val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马云龙</w:t>
            </w:r>
          </w:p>
        </w:tc>
        <w:tc>
          <w:tcPr>
            <w:tcW w:w="4394" w:type="dxa"/>
            <w:vAlign w:val="center"/>
          </w:tcPr>
          <w:p w14:paraId="74471C61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国网江苏省电力有限公司</w:t>
            </w:r>
          </w:p>
        </w:tc>
        <w:tc>
          <w:tcPr>
            <w:tcW w:w="1560" w:type="dxa"/>
            <w:vAlign w:val="center"/>
          </w:tcPr>
          <w:p w14:paraId="6C803D71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高级工程师</w:t>
            </w:r>
          </w:p>
        </w:tc>
        <w:tc>
          <w:tcPr>
            <w:tcW w:w="1855" w:type="dxa"/>
            <w:vAlign w:val="center"/>
          </w:tcPr>
          <w:p w14:paraId="06BF7979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文本编制</w:t>
            </w:r>
          </w:p>
        </w:tc>
      </w:tr>
      <w:tr w14:paraId="5869F4E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Align w:val="center"/>
          </w:tcPr>
          <w:p w14:paraId="74A0C31E">
            <w:pPr>
              <w:adjustRightInd w:val="0"/>
              <w:snapToGrid w:val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陆子刚</w:t>
            </w:r>
          </w:p>
        </w:tc>
        <w:tc>
          <w:tcPr>
            <w:tcW w:w="4394" w:type="dxa"/>
            <w:vAlign w:val="center"/>
          </w:tcPr>
          <w:p w14:paraId="2B4C17BD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国网江苏省电力有限公司营销服务中心</w:t>
            </w:r>
          </w:p>
        </w:tc>
        <w:tc>
          <w:tcPr>
            <w:tcW w:w="1560" w:type="dxa"/>
            <w:vAlign w:val="center"/>
          </w:tcPr>
          <w:p w14:paraId="1EEE45D4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高级工程师</w:t>
            </w:r>
          </w:p>
        </w:tc>
        <w:tc>
          <w:tcPr>
            <w:tcW w:w="1855" w:type="dxa"/>
            <w:vAlign w:val="center"/>
          </w:tcPr>
          <w:p w14:paraId="533090AE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文本编制</w:t>
            </w:r>
          </w:p>
        </w:tc>
      </w:tr>
      <w:tr w14:paraId="33CC8D7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Align w:val="center"/>
          </w:tcPr>
          <w:p w14:paraId="446FA2A7">
            <w:pPr>
              <w:adjustRightInd w:val="0"/>
              <w:snapToGrid w:val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张季军</w:t>
            </w:r>
          </w:p>
        </w:tc>
        <w:tc>
          <w:tcPr>
            <w:tcW w:w="4394" w:type="dxa"/>
            <w:vAlign w:val="center"/>
          </w:tcPr>
          <w:p w14:paraId="2CDDF6E2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国网江苏省电力有限公司泰州供电分公司</w:t>
            </w:r>
          </w:p>
        </w:tc>
        <w:tc>
          <w:tcPr>
            <w:tcW w:w="1560" w:type="dxa"/>
            <w:vAlign w:val="center"/>
          </w:tcPr>
          <w:p w14:paraId="513C372C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高级工程师</w:t>
            </w:r>
          </w:p>
        </w:tc>
        <w:tc>
          <w:tcPr>
            <w:tcW w:w="1855" w:type="dxa"/>
            <w:vAlign w:val="center"/>
          </w:tcPr>
          <w:p w14:paraId="7D708B55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文本编制</w:t>
            </w:r>
          </w:p>
        </w:tc>
      </w:tr>
      <w:tr w14:paraId="0C732D1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Align w:val="center"/>
          </w:tcPr>
          <w:p w14:paraId="728CEEED">
            <w:pPr>
              <w:adjustRightInd w:val="0"/>
              <w:snapToGrid w:val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苏红平</w:t>
            </w:r>
          </w:p>
        </w:tc>
        <w:tc>
          <w:tcPr>
            <w:tcW w:w="4394" w:type="dxa"/>
            <w:vAlign w:val="center"/>
          </w:tcPr>
          <w:p w14:paraId="153C9884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国网江苏省电力有限公司连云港供电分公司</w:t>
            </w:r>
          </w:p>
        </w:tc>
        <w:tc>
          <w:tcPr>
            <w:tcW w:w="1560" w:type="dxa"/>
            <w:vAlign w:val="center"/>
          </w:tcPr>
          <w:p w14:paraId="46E7A24C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高级工程师</w:t>
            </w:r>
          </w:p>
        </w:tc>
        <w:tc>
          <w:tcPr>
            <w:tcW w:w="1855" w:type="dxa"/>
            <w:vAlign w:val="center"/>
          </w:tcPr>
          <w:p w14:paraId="4A2C7EB4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文本编制</w:t>
            </w:r>
          </w:p>
        </w:tc>
      </w:tr>
      <w:tr w14:paraId="57DF0F0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Align w:val="center"/>
          </w:tcPr>
          <w:p w14:paraId="5E07E224">
            <w:pPr>
              <w:adjustRightInd w:val="0"/>
              <w:snapToGrid w:val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张月</w:t>
            </w:r>
          </w:p>
        </w:tc>
        <w:tc>
          <w:tcPr>
            <w:tcW w:w="4394" w:type="dxa"/>
            <w:vAlign w:val="center"/>
          </w:tcPr>
          <w:p w14:paraId="76633F93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国网江苏省电力有限公司镇江供电分公司</w:t>
            </w:r>
          </w:p>
        </w:tc>
        <w:tc>
          <w:tcPr>
            <w:tcW w:w="1560" w:type="dxa"/>
            <w:vAlign w:val="center"/>
          </w:tcPr>
          <w:p w14:paraId="0781D695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高级工程师</w:t>
            </w:r>
          </w:p>
        </w:tc>
        <w:tc>
          <w:tcPr>
            <w:tcW w:w="1855" w:type="dxa"/>
            <w:vAlign w:val="center"/>
          </w:tcPr>
          <w:p w14:paraId="729C741A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文本编制</w:t>
            </w:r>
          </w:p>
        </w:tc>
      </w:tr>
      <w:tr w14:paraId="674B82E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</w:tcPr>
          <w:p w14:paraId="1EA88FD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华全明</w:t>
            </w:r>
          </w:p>
        </w:tc>
        <w:tc>
          <w:tcPr>
            <w:tcW w:w="4394" w:type="dxa"/>
          </w:tcPr>
          <w:p w14:paraId="515551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国网江苏省电力有限公司</w:t>
            </w:r>
          </w:p>
        </w:tc>
        <w:tc>
          <w:tcPr>
            <w:tcW w:w="1560" w:type="dxa"/>
          </w:tcPr>
          <w:p w14:paraId="192DD5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高级工程师</w:t>
            </w:r>
          </w:p>
        </w:tc>
        <w:tc>
          <w:tcPr>
            <w:tcW w:w="1855" w:type="dxa"/>
          </w:tcPr>
          <w:p w14:paraId="787134B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文本编制</w:t>
            </w:r>
          </w:p>
        </w:tc>
      </w:tr>
      <w:tr w14:paraId="7F2DF6A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Align w:val="center"/>
          </w:tcPr>
          <w:p w14:paraId="646F158F">
            <w:pPr>
              <w:adjustRightInd w:val="0"/>
              <w:snapToGrid w:val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王祥</w:t>
            </w:r>
          </w:p>
        </w:tc>
        <w:tc>
          <w:tcPr>
            <w:tcW w:w="4394" w:type="dxa"/>
            <w:vAlign w:val="center"/>
          </w:tcPr>
          <w:p w14:paraId="697C10BC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华能国际电力江苏能源开发有限公司南京电厂</w:t>
            </w:r>
          </w:p>
        </w:tc>
        <w:tc>
          <w:tcPr>
            <w:tcW w:w="1560" w:type="dxa"/>
            <w:vAlign w:val="center"/>
          </w:tcPr>
          <w:p w14:paraId="706CC8DF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高级工程师</w:t>
            </w:r>
          </w:p>
        </w:tc>
        <w:tc>
          <w:tcPr>
            <w:tcW w:w="1855" w:type="dxa"/>
            <w:vAlign w:val="center"/>
          </w:tcPr>
          <w:p w14:paraId="66D0E3EA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文本编制</w:t>
            </w:r>
          </w:p>
        </w:tc>
      </w:tr>
      <w:tr w14:paraId="7F1E512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Align w:val="center"/>
          </w:tcPr>
          <w:p w14:paraId="5EE61728">
            <w:pPr>
              <w:adjustRightInd w:val="0"/>
              <w:snapToGrid w:val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陈刚</w:t>
            </w:r>
          </w:p>
        </w:tc>
        <w:tc>
          <w:tcPr>
            <w:tcW w:w="4394" w:type="dxa"/>
            <w:vAlign w:val="center"/>
          </w:tcPr>
          <w:p w14:paraId="7620CD5C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国网江苏省电力有限公司营销服务中心</w:t>
            </w:r>
          </w:p>
        </w:tc>
        <w:tc>
          <w:tcPr>
            <w:tcW w:w="1560" w:type="dxa"/>
            <w:vAlign w:val="center"/>
          </w:tcPr>
          <w:p w14:paraId="1BD16C3A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研究员级高级工程师</w:t>
            </w:r>
          </w:p>
        </w:tc>
        <w:tc>
          <w:tcPr>
            <w:tcW w:w="1855" w:type="dxa"/>
            <w:vAlign w:val="center"/>
          </w:tcPr>
          <w:p w14:paraId="42F162FA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文本编制</w:t>
            </w:r>
          </w:p>
        </w:tc>
      </w:tr>
      <w:tr w14:paraId="60C62D4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Align w:val="center"/>
          </w:tcPr>
          <w:p w14:paraId="407F7A45">
            <w:pPr>
              <w:adjustRightInd w:val="0"/>
              <w:snapToGrid w:val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欧阳曾恺</w:t>
            </w:r>
          </w:p>
        </w:tc>
        <w:tc>
          <w:tcPr>
            <w:tcW w:w="4394" w:type="dxa"/>
            <w:vAlign w:val="center"/>
          </w:tcPr>
          <w:p w14:paraId="10105A85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国网江苏省电力有限公司营销服务中心</w:t>
            </w:r>
          </w:p>
        </w:tc>
        <w:tc>
          <w:tcPr>
            <w:tcW w:w="1560" w:type="dxa"/>
            <w:vAlign w:val="center"/>
          </w:tcPr>
          <w:p w14:paraId="25298C2E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高级工程师</w:t>
            </w:r>
          </w:p>
        </w:tc>
        <w:tc>
          <w:tcPr>
            <w:tcW w:w="1855" w:type="dxa"/>
            <w:vAlign w:val="center"/>
          </w:tcPr>
          <w:p w14:paraId="5707802D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文本编制</w:t>
            </w:r>
          </w:p>
        </w:tc>
      </w:tr>
      <w:tr w14:paraId="13860FD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Align w:val="center"/>
          </w:tcPr>
          <w:p w14:paraId="735E47B4">
            <w:pPr>
              <w:adjustRightInd w:val="0"/>
              <w:snapToGrid w:val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黄天超</w:t>
            </w:r>
          </w:p>
        </w:tc>
        <w:tc>
          <w:tcPr>
            <w:tcW w:w="4394" w:type="dxa"/>
            <w:vAlign w:val="center"/>
          </w:tcPr>
          <w:p w14:paraId="32C0DB6D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国网江苏省电力有限公司营销服务中心</w:t>
            </w:r>
          </w:p>
        </w:tc>
        <w:tc>
          <w:tcPr>
            <w:tcW w:w="1560" w:type="dxa"/>
            <w:vAlign w:val="center"/>
          </w:tcPr>
          <w:p w14:paraId="6292BD05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高级工程师</w:t>
            </w:r>
          </w:p>
        </w:tc>
        <w:tc>
          <w:tcPr>
            <w:tcW w:w="1855" w:type="dxa"/>
            <w:vAlign w:val="center"/>
          </w:tcPr>
          <w:p w14:paraId="715043B7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文本编制</w:t>
            </w:r>
          </w:p>
        </w:tc>
      </w:tr>
      <w:tr w14:paraId="6109BB2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" w:type="dxa"/>
            <w:vAlign w:val="center"/>
          </w:tcPr>
          <w:p w14:paraId="7F30D9CC">
            <w:pPr>
              <w:adjustRightInd w:val="0"/>
              <w:snapToGrid w:val="0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sz w:val="18"/>
                <w:szCs w:val="18"/>
              </w:rPr>
              <w:t>宋瑞鹏</w:t>
            </w:r>
          </w:p>
        </w:tc>
        <w:tc>
          <w:tcPr>
            <w:tcW w:w="4394" w:type="dxa"/>
            <w:vAlign w:val="center"/>
          </w:tcPr>
          <w:p w14:paraId="78C83E03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国网江苏省电力有限公司营销服务中心</w:t>
            </w:r>
          </w:p>
        </w:tc>
        <w:tc>
          <w:tcPr>
            <w:tcW w:w="1560" w:type="dxa"/>
            <w:vAlign w:val="center"/>
          </w:tcPr>
          <w:p w14:paraId="0BDEFE5B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高级工程师</w:t>
            </w:r>
          </w:p>
        </w:tc>
        <w:tc>
          <w:tcPr>
            <w:tcW w:w="1855" w:type="dxa"/>
            <w:vAlign w:val="center"/>
          </w:tcPr>
          <w:p w14:paraId="26859667">
            <w:pPr>
              <w:adjustRightInd w:val="0"/>
              <w:snapToGrid w:val="0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/>
                <w:kern w:val="0"/>
                <w:sz w:val="18"/>
                <w:szCs w:val="18"/>
              </w:rPr>
              <w:t>文本编制</w:t>
            </w:r>
          </w:p>
        </w:tc>
      </w:tr>
      <w:bookmarkEnd w:id="26"/>
      <w:bookmarkEnd w:id="27"/>
      <w:bookmarkEnd w:id="28"/>
      <w:bookmarkEnd w:id="29"/>
    </w:tbl>
    <w:p w14:paraId="6902A93E">
      <w:pPr>
        <w:pStyle w:val="34"/>
      </w:pPr>
    </w:p>
    <w:sectPr>
      <w:headerReference r:id="rId19" w:type="default"/>
      <w:footerReference r:id="rId20" w:type="default"/>
      <w:pgSz w:w="11907" w:h="16840"/>
      <w:pgMar w:top="1417" w:right="1134" w:bottom="1134" w:left="1417" w:header="1123" w:footer="1123" w:gutter="0"/>
      <w:pgNumType w:start="1"/>
      <w:cols w:space="720" w:num="1"/>
      <w:docGrid w:linePitch="286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70E737">
    <w:pPr>
      <w:spacing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6074CF">
    <w:pPr>
      <w:pStyle w:val="28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36D694">
                          <w:pPr>
                            <w:pStyle w:val="2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FxMybfCAQAAjQ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E36D694">
                    <w:pPr>
                      <w:pStyle w:val="2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308E7A">
    <w:pPr>
      <w:pStyle w:val="28"/>
      <w:rPr>
        <w:sz w:val="20"/>
        <w:szCs w:val="20"/>
      </w:rPr>
    </w:pPr>
    <w:r>
      <w:t xml:space="preserve"> 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C1F12">
    <w:pPr>
      <w:pStyle w:val="28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I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07F4A7">
    <w:pPr>
      <w:pStyle w:val="28"/>
    </w:pPr>
    <w:r>
      <w:t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D3BEC7">
    <w:pPr>
      <w:pStyle w:val="28"/>
      <w:ind w:right="720"/>
      <w:jc w:val="both"/>
    </w:pPr>
    <w:r>
      <w:t>2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628B10">
    <w:pPr>
      <w:pStyle w:val="19"/>
    </w:pPr>
    <w:r>
      <w:t>3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F874F6">
    <w:pPr>
      <w:pStyle w:val="19"/>
      <w:ind w:right="720"/>
      <w:jc w:val="both"/>
    </w:pPr>
    <w:r>
      <w:t>4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11B3FA">
    <w:pPr>
      <w:pStyle w:val="19"/>
    </w:pPr>
    <w:r>
      <w:t>5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338EDE">
    <w:pPr>
      <w:pStyle w:val="180"/>
    </w:pPr>
    <w:r>
      <w:t>DB32/T XXX—20XX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5DC966">
    <w:pPr>
      <w:spacing w:line="0" w:lineRule="atLeast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02D7F3">
    <w:pPr>
      <w:pStyle w:val="29"/>
    </w:pPr>
    <w:r>
      <w:rPr>
        <w:rFonts w:hint="eastAsia"/>
      </w:rPr>
      <w:t>DB32/T</w:t>
    </w:r>
    <w:r>
      <w:t xml:space="preserve"> </w:t>
    </w:r>
    <w:r>
      <w:rPr>
        <w:rFonts w:hint="eastAsia"/>
      </w:rPr>
      <w:t>990—202</w:t>
    </w:r>
    <w:r>
      <w:t>5</w:t>
    </w:r>
  </w:p>
  <w:p w14:paraId="3F54F9B6">
    <w:pPr>
      <w:pStyle w:val="2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43CE3E">
    <w:pPr>
      <w:pStyle w:val="29"/>
      <w:rPr>
        <w:rFonts w:hint="eastAsia" w:eastAsia="黑体"/>
        <w:lang w:val="en-US" w:eastAsia="zh-CN"/>
      </w:rPr>
    </w:pPr>
    <w:r>
      <w:rPr>
        <w:rFonts w:hint="eastAsia"/>
      </w:rPr>
      <w:t>DB32/T</w:t>
    </w:r>
    <w:r>
      <w:t xml:space="preserve"> </w:t>
    </w:r>
    <w:r>
      <w:rPr>
        <w:rFonts w:hint="eastAsia"/>
      </w:rPr>
      <w:t>990</w:t>
    </w:r>
    <w:r>
      <w:rPr>
        <w:rFonts w:hint="eastAsia" w:ascii="宋体"/>
      </w:rPr>
      <w:t>—</w:t>
    </w:r>
    <w:r>
      <w:rPr>
        <w:rFonts w:hint="eastAsia"/>
      </w:rPr>
      <w:t>202</w:t>
    </w:r>
    <w:r>
      <w:rPr>
        <w:rFonts w:hint="eastAsia"/>
        <w:lang w:val="en-US" w:eastAsia="zh-CN"/>
      </w:rPr>
      <w:t>6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D79FD0">
    <w:pPr>
      <w:pStyle w:val="180"/>
      <w:rPr>
        <w:rFonts w:hint="eastAsia" w:eastAsia="黑体"/>
        <w:lang w:val="en-US" w:eastAsia="zh-CN"/>
      </w:rPr>
    </w:pPr>
    <w:r>
      <w:t>DB32/T 990</w:t>
    </w:r>
    <w:r>
      <w:rPr>
        <w:rFonts w:hint="eastAsia" w:ascii="宋体" w:hAnsi="宋体"/>
      </w:rPr>
      <w:t>—</w:t>
    </w:r>
    <w:r>
      <w:t>202</w:t>
    </w:r>
    <w:r>
      <w:rPr>
        <w:rFonts w:hint="eastAsia"/>
        <w:lang w:val="en-US" w:eastAsia="zh-CN"/>
      </w:rPr>
      <w:t>6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22507E">
    <w:pPr>
      <w:pStyle w:val="180"/>
      <w:ind w:right="840"/>
      <w:jc w:val="both"/>
    </w:pPr>
    <w:r>
      <w:t>DB32/T 990</w:t>
    </w:r>
    <w:r>
      <w:rPr>
        <w:rFonts w:hint="eastAsia" w:ascii="宋体" w:hAnsi="宋体"/>
      </w:rPr>
      <w:t>—</w:t>
    </w:r>
    <w:r>
      <w:t>2025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09480E">
    <w:pPr>
      <w:pStyle w:val="180"/>
    </w:pPr>
    <w:r>
      <w:t>DB32/T 990</w:t>
    </w:r>
    <w:r>
      <w:rPr>
        <w:rFonts w:hint="eastAsia" w:ascii="宋体" w:hAnsi="宋体"/>
      </w:rPr>
      <w:t>—</w:t>
    </w:r>
    <w:r>
      <w:t>2025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6D7521">
    <w:pPr>
      <w:pStyle w:val="180"/>
      <w:ind w:right="840"/>
      <w:jc w:val="both"/>
    </w:pPr>
    <w:r>
      <w:t>DB32/T 990</w:t>
    </w:r>
    <w:r>
      <w:rPr>
        <w:rFonts w:hint="eastAsia" w:ascii="宋体" w:hAnsi="宋体"/>
      </w:rPr>
      <w:t>—</w:t>
    </w:r>
    <w:r>
      <w:t>2025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123F22">
    <w:pPr>
      <w:pStyle w:val="180"/>
    </w:pPr>
    <w:r>
      <w:t>DB32/T 990</w:t>
    </w:r>
    <w:r>
      <w:rPr>
        <w:rFonts w:hint="eastAsia" w:ascii="宋体" w:hAnsi="宋体"/>
      </w:rPr>
      <w:t>—</w:t>
    </w:r>
    <w:r>
      <w:t>2025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102AD"/>
    <w:multiLevelType w:val="multilevel"/>
    <w:tmpl w:val="079102AD"/>
    <w:lvl w:ilvl="0" w:tentative="0">
      <w:start w:val="1"/>
      <w:numFmt w:val="decimal"/>
      <w:pStyle w:val="187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lang w:val="en-US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093C6778"/>
    <w:lvl w:ilvl="0" w:tentative="0">
      <w:start w:val="1"/>
      <w:numFmt w:val="decimal"/>
      <w:pStyle w:val="88"/>
      <w:suff w:val="nothing"/>
      <w:lvlText w:val="示例%1："/>
      <w:lvlJc w:val="left"/>
      <w:pPr>
        <w:ind w:left="0" w:firstLine="397"/>
      </w:pPr>
      <w:rPr>
        <w:rFonts w:hint="eastAsia" w:ascii="黑体" w:eastAsia="黑体"/>
        <w:sz w:val="18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AE367E9"/>
    <w:multiLevelType w:val="multilevel"/>
    <w:tmpl w:val="0AE367E9"/>
    <w:lvl w:ilvl="0" w:tentative="0">
      <w:start w:val="1"/>
      <w:numFmt w:val="none"/>
      <w:pStyle w:val="126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  <w:szCs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3">
    <w:nsid w:val="0D983844"/>
    <w:multiLevelType w:val="multilevel"/>
    <w:tmpl w:val="0D983844"/>
    <w:lvl w:ilvl="0" w:tentative="0">
      <w:start w:val="1"/>
      <w:numFmt w:val="decimal"/>
      <w:pStyle w:val="246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4">
    <w:nsid w:val="0DDE2B46"/>
    <w:multiLevelType w:val="multilevel"/>
    <w:tmpl w:val="0DDE2B46"/>
    <w:lvl w:ilvl="0" w:tentative="0">
      <w:start w:val="1"/>
      <w:numFmt w:val="lowerLetter"/>
      <w:pStyle w:val="239"/>
      <w:suff w:val="nothing"/>
      <w:lvlText w:val="%1   "/>
      <w:lvlJc w:val="left"/>
      <w:pPr>
        <w:ind w:left="544" w:hanging="181"/>
      </w:pPr>
      <w:rPr>
        <w:rFonts w:hint="eastAsia" w:ascii="宋体" w:eastAsia="宋体"/>
        <w:b w:val="0"/>
        <w:i w:val="0"/>
        <w:sz w:val="18"/>
        <w:vertAlign w:val="superscript"/>
      </w:rPr>
    </w:lvl>
    <w:lvl w:ilvl="1" w:tentative="0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5">
    <w:nsid w:val="11396719"/>
    <w:multiLevelType w:val="multilevel"/>
    <w:tmpl w:val="11396719"/>
    <w:lvl w:ilvl="0" w:tentative="0">
      <w:start w:val="1"/>
      <w:numFmt w:val="decimal"/>
      <w:pStyle w:val="76"/>
      <w:lvlText w:val="%1"/>
      <w:lvlJc w:val="left"/>
      <w:pPr>
        <w:ind w:left="425" w:hanging="425"/>
      </w:pPr>
    </w:lvl>
    <w:lvl w:ilvl="1" w:tentative="0">
      <w:start w:val="1"/>
      <w:numFmt w:val="decimal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>
    <w:nsid w:val="1DBF583A"/>
    <w:multiLevelType w:val="multilevel"/>
    <w:tmpl w:val="1DBF583A"/>
    <w:lvl w:ilvl="0" w:tentative="0">
      <w:start w:val="1"/>
      <w:numFmt w:val="decimal"/>
      <w:pStyle w:val="107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 w:tentative="0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7">
    <w:nsid w:val="1FC91163"/>
    <w:multiLevelType w:val="multilevel"/>
    <w:tmpl w:val="1FC91163"/>
    <w:lvl w:ilvl="0" w:tentative="0">
      <w:start w:val="1"/>
      <w:numFmt w:val="decimal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97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00"/>
      <w:suff w:val="nothing"/>
      <w:lvlText w:val="%1.%2.%3.%4　"/>
      <w:lvlJc w:val="left"/>
      <w:pPr>
        <w:ind w:left="1843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77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>
    <w:nsid w:val="22827D5B"/>
    <w:multiLevelType w:val="multilevel"/>
    <w:tmpl w:val="22827D5B"/>
    <w:lvl w:ilvl="0" w:tentative="0">
      <w:start w:val="1"/>
      <w:numFmt w:val="none"/>
      <w:pStyle w:val="158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9">
    <w:nsid w:val="2A8F7113"/>
    <w:multiLevelType w:val="multilevel"/>
    <w:tmpl w:val="2A8F7113"/>
    <w:lvl w:ilvl="0" w:tentative="0">
      <w:start w:val="1"/>
      <w:numFmt w:val="upperLetter"/>
      <w:pStyle w:val="196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193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10">
    <w:nsid w:val="2C5917C3"/>
    <w:multiLevelType w:val="multilevel"/>
    <w:tmpl w:val="2C5917C3"/>
    <w:lvl w:ilvl="0" w:tentative="0">
      <w:start w:val="1"/>
      <w:numFmt w:val="none"/>
      <w:pStyle w:val="155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123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189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>
    <w:nsid w:val="339F2B65"/>
    <w:multiLevelType w:val="multilevel"/>
    <w:tmpl w:val="339F2B65"/>
    <w:lvl w:ilvl="0" w:tentative="0">
      <w:start w:val="1"/>
      <w:numFmt w:val="chineseCountingThousand"/>
      <w:pStyle w:val="3"/>
      <w:suff w:val="nothing"/>
      <w:lvlText w:val="%1、"/>
      <w:lvlJc w:val="left"/>
      <w:pPr>
        <w:ind w:left="432" w:hanging="432"/>
      </w:pPr>
      <w:rPr>
        <w:rFonts w:hint="eastAsia"/>
      </w:rPr>
    </w:lvl>
    <w:lvl w:ilvl="1" w:tentative="0">
      <w:start w:val="1"/>
      <w:numFmt w:val="chineseCountingThousand"/>
      <w:pStyle w:val="4"/>
      <w:suff w:val="nothing"/>
      <w:lvlText w:val="（%2）"/>
      <w:lvlJc w:val="left"/>
      <w:pPr>
        <w:ind w:left="1144" w:hanging="1144"/>
      </w:pPr>
      <w:rPr>
        <w:rFonts w:hint="eastAsia"/>
      </w:rPr>
    </w:lvl>
    <w:lvl w:ilvl="2" w:tentative="0">
      <w:start w:val="1"/>
      <w:numFmt w:val="decimal"/>
      <w:pStyle w:val="5"/>
      <w:suff w:val="space"/>
      <w:lvlText w:val="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6"/>
      <w:suff w:val="space"/>
      <w:lvlText w:val="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suff w:val="space"/>
      <w:lvlText w:val="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suff w:val="space"/>
      <w:lvlText w:val="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suff w:val="space"/>
      <w:lvlText w:val="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suff w:val="space"/>
      <w:lvlText w:val="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suff w:val="space"/>
      <w:lvlText w:val="%3.%4.%5.%6.%7.%8.%9"/>
      <w:lvlJc w:val="left"/>
      <w:pPr>
        <w:ind w:left="1584" w:hanging="1584"/>
      </w:pPr>
      <w:rPr>
        <w:rFonts w:hint="eastAsia"/>
      </w:rPr>
    </w:lvl>
  </w:abstractNum>
  <w:abstractNum w:abstractNumId="12">
    <w:nsid w:val="3D733618"/>
    <w:multiLevelType w:val="multilevel"/>
    <w:tmpl w:val="3D733618"/>
    <w:lvl w:ilvl="0" w:tentative="0">
      <w:start w:val="1"/>
      <w:numFmt w:val="decimal"/>
      <w:pStyle w:val="35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13">
    <w:nsid w:val="44C50F90"/>
    <w:multiLevelType w:val="multilevel"/>
    <w:tmpl w:val="44C50F90"/>
    <w:lvl w:ilvl="0" w:tentative="0">
      <w:start w:val="1"/>
      <w:numFmt w:val="lowerLetter"/>
      <w:pStyle w:val="96"/>
      <w:lvlText w:val="%1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pStyle w:val="184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0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4">
    <w:nsid w:val="4B733A5F"/>
    <w:multiLevelType w:val="multilevel"/>
    <w:tmpl w:val="4B733A5F"/>
    <w:lvl w:ilvl="0" w:tentative="0">
      <w:start w:val="1"/>
      <w:numFmt w:val="decimal"/>
      <w:pStyle w:val="190"/>
      <w:suff w:val="nothing"/>
      <w:lvlText w:val="示例%1："/>
      <w:lvlJc w:val="left"/>
      <w:pPr>
        <w:ind w:left="0" w:firstLine="363"/>
      </w:pPr>
      <w:rPr>
        <w:rFonts w:hint="eastAsia" w:ascii="黑体" w:hAnsi="Times New Roman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</w:abstractNum>
  <w:abstractNum w:abstractNumId="15">
    <w:nsid w:val="54050508"/>
    <w:multiLevelType w:val="multilevel"/>
    <w:tmpl w:val="54050508"/>
    <w:lvl w:ilvl="0" w:tentative="0">
      <w:start w:val="1"/>
      <w:numFmt w:val="decimal"/>
      <w:pStyle w:val="78"/>
      <w:lvlText w:val="%1)"/>
      <w:lvlJc w:val="left"/>
      <w:pPr>
        <w:ind w:left="836" w:hanging="36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 w:tentative="0">
      <w:start w:val="2"/>
      <w:numFmt w:val="decimalEnclosedCircle"/>
      <w:lvlText w:val="%2"/>
      <w:lvlJc w:val="left"/>
      <w:pPr>
        <w:ind w:left="149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2210" w:hanging="180"/>
      </w:pPr>
    </w:lvl>
    <w:lvl w:ilvl="3" w:tentative="0">
      <w:start w:val="1"/>
      <w:numFmt w:val="decimal"/>
      <w:lvlText w:val="%4."/>
      <w:lvlJc w:val="left"/>
      <w:pPr>
        <w:ind w:left="2930" w:hanging="360"/>
      </w:pPr>
    </w:lvl>
    <w:lvl w:ilvl="4" w:tentative="0">
      <w:start w:val="1"/>
      <w:numFmt w:val="lowerLetter"/>
      <w:lvlText w:val="%5."/>
      <w:lvlJc w:val="left"/>
      <w:pPr>
        <w:ind w:left="3650" w:hanging="360"/>
      </w:pPr>
    </w:lvl>
    <w:lvl w:ilvl="5" w:tentative="0">
      <w:start w:val="1"/>
      <w:numFmt w:val="lowerRoman"/>
      <w:lvlText w:val="%6."/>
      <w:lvlJc w:val="right"/>
      <w:pPr>
        <w:ind w:left="4370" w:hanging="180"/>
      </w:pPr>
    </w:lvl>
    <w:lvl w:ilvl="6" w:tentative="0">
      <w:start w:val="1"/>
      <w:numFmt w:val="decimal"/>
      <w:lvlText w:val="%7."/>
      <w:lvlJc w:val="left"/>
      <w:pPr>
        <w:ind w:left="5090" w:hanging="360"/>
      </w:pPr>
    </w:lvl>
    <w:lvl w:ilvl="7" w:tentative="0">
      <w:start w:val="1"/>
      <w:numFmt w:val="lowerLetter"/>
      <w:lvlText w:val="%8."/>
      <w:lvlJc w:val="left"/>
      <w:pPr>
        <w:ind w:left="5810" w:hanging="360"/>
      </w:pPr>
    </w:lvl>
    <w:lvl w:ilvl="8" w:tentative="0">
      <w:start w:val="1"/>
      <w:numFmt w:val="lowerRoman"/>
      <w:lvlText w:val="%9."/>
      <w:lvlJc w:val="right"/>
      <w:pPr>
        <w:ind w:left="6530" w:hanging="180"/>
      </w:pPr>
    </w:lvl>
  </w:abstractNum>
  <w:abstractNum w:abstractNumId="16">
    <w:nsid w:val="60B55DC2"/>
    <w:multiLevelType w:val="multilevel"/>
    <w:tmpl w:val="60B55DC2"/>
    <w:lvl w:ilvl="0" w:tentative="0">
      <w:start w:val="1"/>
      <w:numFmt w:val="upperLetter"/>
      <w:pStyle w:val="183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215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7">
    <w:nsid w:val="646260FA"/>
    <w:multiLevelType w:val="multilevel"/>
    <w:tmpl w:val="646260FA"/>
    <w:lvl w:ilvl="0" w:tentative="0">
      <w:start w:val="1"/>
      <w:numFmt w:val="decimal"/>
      <w:pStyle w:val="244"/>
      <w:suff w:val="nothing"/>
      <w:lvlText w:val="表%1　"/>
      <w:lvlJc w:val="left"/>
      <w:pPr>
        <w:ind w:left="4253" w:firstLine="0"/>
      </w:pPr>
      <w:rPr>
        <w:rFonts w:hint="eastAsia" w:ascii="黑体" w:hAnsi="Times New Roman" w:eastAsia="黑体"/>
        <w:b w:val="0"/>
        <w:i w:val="0"/>
        <w:sz w:val="21"/>
        <w:lang w:val="en-US"/>
      </w:rPr>
    </w:lvl>
    <w:lvl w:ilvl="1" w:tentative="0">
      <w:start w:val="1"/>
      <w:numFmt w:val="decimal"/>
      <w:lvlText w:val="%1.%2"/>
      <w:lvlJc w:val="left"/>
      <w:pPr>
        <w:tabs>
          <w:tab w:val="left" w:pos="5245"/>
        </w:tabs>
        <w:ind w:left="5245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5671"/>
        </w:tabs>
        <w:ind w:left="5671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6237"/>
        </w:tabs>
        <w:ind w:left="6237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6804"/>
        </w:tabs>
        <w:ind w:left="6804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7513"/>
        </w:tabs>
        <w:ind w:left="7513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8080"/>
        </w:tabs>
        <w:ind w:left="8080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8647"/>
        </w:tabs>
        <w:ind w:left="8647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9355"/>
        </w:tabs>
        <w:ind w:left="9355" w:hanging="1700"/>
      </w:pPr>
      <w:rPr>
        <w:rFonts w:hint="eastAsia"/>
      </w:rPr>
    </w:lvl>
  </w:abstractNum>
  <w:abstractNum w:abstractNumId="18">
    <w:nsid w:val="657D3FBC"/>
    <w:multiLevelType w:val="multilevel"/>
    <w:tmpl w:val="657D3FBC"/>
    <w:lvl w:ilvl="0" w:tentative="0">
      <w:start w:val="1"/>
      <w:numFmt w:val="upperLetter"/>
      <w:pStyle w:val="176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pStyle w:val="227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228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12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11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9">
    <w:nsid w:val="6D6C07CD"/>
    <w:multiLevelType w:val="multilevel"/>
    <w:tmpl w:val="6D6C07CD"/>
    <w:lvl w:ilvl="0" w:tentative="0">
      <w:start w:val="1"/>
      <w:numFmt w:val="lowerLetter"/>
      <w:pStyle w:val="169"/>
      <w:lvlText w:val="%1)"/>
      <w:lvlJc w:val="left"/>
      <w:pPr>
        <w:tabs>
          <w:tab w:val="left" w:pos="839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1" w:tentative="0">
      <w:start w:val="1"/>
      <w:numFmt w:val="decimal"/>
      <w:pStyle w:val="222"/>
      <w:lvlText w:val="%2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abstractNum w:abstractNumId="20">
    <w:nsid w:val="6DBF04F4"/>
    <w:multiLevelType w:val="multilevel"/>
    <w:tmpl w:val="6DBF04F4"/>
    <w:lvl w:ilvl="0" w:tentative="0">
      <w:start w:val="1"/>
      <w:numFmt w:val="none"/>
      <w:pStyle w:val="81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21">
    <w:nsid w:val="6EDD7203"/>
    <w:multiLevelType w:val="multilevel"/>
    <w:tmpl w:val="6EDD7203"/>
    <w:lvl w:ilvl="0" w:tentative="0">
      <w:start w:val="1"/>
      <w:numFmt w:val="upperLetter"/>
      <w:pStyle w:val="278"/>
      <w:suff w:val="nothing"/>
      <w:lvlText w:val="附　录　%1"/>
      <w:lvlJc w:val="left"/>
      <w:pPr>
        <w:ind w:left="4536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pStyle w:val="276"/>
      <w:suff w:val="nothing"/>
      <w:lvlText w:val="%1.%2　"/>
      <w:lvlJc w:val="left"/>
      <w:pPr>
        <w:ind w:left="4536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4536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4536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4536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4536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4536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8930"/>
        </w:tabs>
        <w:ind w:left="8930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9638"/>
        </w:tabs>
        <w:ind w:left="9638" w:hanging="1700"/>
      </w:pPr>
      <w:rPr>
        <w:rFonts w:hint="eastAsia"/>
      </w:rPr>
    </w:lvl>
  </w:abstractNum>
  <w:num w:numId="1">
    <w:abstractNumId w:val="11"/>
  </w:num>
  <w:num w:numId="2">
    <w:abstractNumId w:val="12"/>
  </w:num>
  <w:num w:numId="3">
    <w:abstractNumId w:val="5"/>
  </w:num>
  <w:num w:numId="4">
    <w:abstractNumId w:val="15"/>
  </w:num>
  <w:num w:numId="5">
    <w:abstractNumId w:val="20"/>
  </w:num>
  <w:num w:numId="6">
    <w:abstractNumId w:val="1"/>
  </w:num>
  <w:num w:numId="7">
    <w:abstractNumId w:val="13"/>
  </w:num>
  <w:num w:numId="8">
    <w:abstractNumId w:val="7"/>
  </w:num>
  <w:num w:numId="9">
    <w:abstractNumId w:val="6"/>
  </w:num>
  <w:num w:numId="10">
    <w:abstractNumId w:val="18"/>
  </w:num>
  <w:num w:numId="11">
    <w:abstractNumId w:val="10"/>
  </w:num>
  <w:num w:numId="12">
    <w:abstractNumId w:val="2"/>
  </w:num>
  <w:num w:numId="13">
    <w:abstractNumId w:val="8"/>
  </w:num>
  <w:num w:numId="14">
    <w:abstractNumId w:val="19"/>
  </w:num>
  <w:num w:numId="15">
    <w:abstractNumId w:val="16"/>
  </w:num>
  <w:num w:numId="16">
    <w:abstractNumId w:val="0"/>
  </w:num>
  <w:num w:numId="17">
    <w:abstractNumId w:val="14"/>
  </w:num>
  <w:num w:numId="18">
    <w:abstractNumId w:val="9"/>
  </w:num>
  <w:num w:numId="19">
    <w:abstractNumId w:val="4"/>
  </w:num>
  <w:num w:numId="20">
    <w:abstractNumId w:val="17"/>
  </w:num>
  <w:num w:numId="21">
    <w:abstractNumId w:val="3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DQ0Nrc0M7EwMbI0NjFX0lEKTi0uzszPAykwqQUA/ygsdywAAAA="/>
    <w:docVar w:name="commondata" w:val="eyJoZGlkIjoiNzVlZDFjOTAwZTNlZjgwZmZlNDFhOTc2YTNmOTZlZjgifQ=="/>
  </w:docVars>
  <w:rsids>
    <w:rsidRoot w:val="00035925"/>
    <w:rsid w:val="00000244"/>
    <w:rsid w:val="0000185F"/>
    <w:rsid w:val="0000490D"/>
    <w:rsid w:val="00004BE5"/>
    <w:rsid w:val="0000586F"/>
    <w:rsid w:val="000061F5"/>
    <w:rsid w:val="00006C41"/>
    <w:rsid w:val="00007E30"/>
    <w:rsid w:val="000100AC"/>
    <w:rsid w:val="0001180F"/>
    <w:rsid w:val="00012412"/>
    <w:rsid w:val="00012442"/>
    <w:rsid w:val="0001278F"/>
    <w:rsid w:val="000128CE"/>
    <w:rsid w:val="00012D5C"/>
    <w:rsid w:val="000138EE"/>
    <w:rsid w:val="00013D86"/>
    <w:rsid w:val="00013E02"/>
    <w:rsid w:val="00014B34"/>
    <w:rsid w:val="00015958"/>
    <w:rsid w:val="000159D3"/>
    <w:rsid w:val="000162BB"/>
    <w:rsid w:val="0001705F"/>
    <w:rsid w:val="0002143C"/>
    <w:rsid w:val="00023FF8"/>
    <w:rsid w:val="00025A65"/>
    <w:rsid w:val="000268C0"/>
    <w:rsid w:val="00026C31"/>
    <w:rsid w:val="000270A3"/>
    <w:rsid w:val="00027280"/>
    <w:rsid w:val="00027971"/>
    <w:rsid w:val="000303C3"/>
    <w:rsid w:val="000320A7"/>
    <w:rsid w:val="0003226B"/>
    <w:rsid w:val="000326A0"/>
    <w:rsid w:val="000331CE"/>
    <w:rsid w:val="0003339E"/>
    <w:rsid w:val="00035925"/>
    <w:rsid w:val="000365DF"/>
    <w:rsid w:val="00036DF6"/>
    <w:rsid w:val="000370FF"/>
    <w:rsid w:val="00040DBC"/>
    <w:rsid w:val="00041281"/>
    <w:rsid w:val="000437D8"/>
    <w:rsid w:val="0004446E"/>
    <w:rsid w:val="00044BFB"/>
    <w:rsid w:val="0004567C"/>
    <w:rsid w:val="00046837"/>
    <w:rsid w:val="00046D1B"/>
    <w:rsid w:val="00047DC6"/>
    <w:rsid w:val="000506FC"/>
    <w:rsid w:val="000508BE"/>
    <w:rsid w:val="00050F21"/>
    <w:rsid w:val="000511D7"/>
    <w:rsid w:val="00053ECA"/>
    <w:rsid w:val="00055E37"/>
    <w:rsid w:val="00057DC8"/>
    <w:rsid w:val="00060882"/>
    <w:rsid w:val="00061210"/>
    <w:rsid w:val="000612EE"/>
    <w:rsid w:val="00061B2E"/>
    <w:rsid w:val="00062B75"/>
    <w:rsid w:val="000642B7"/>
    <w:rsid w:val="0006547F"/>
    <w:rsid w:val="00067CDF"/>
    <w:rsid w:val="00070542"/>
    <w:rsid w:val="00071249"/>
    <w:rsid w:val="00071752"/>
    <w:rsid w:val="00071C75"/>
    <w:rsid w:val="00071F61"/>
    <w:rsid w:val="0007262A"/>
    <w:rsid w:val="000733D4"/>
    <w:rsid w:val="00074FBE"/>
    <w:rsid w:val="00075AAF"/>
    <w:rsid w:val="00075F8B"/>
    <w:rsid w:val="00076AA9"/>
    <w:rsid w:val="00077FF3"/>
    <w:rsid w:val="000828B9"/>
    <w:rsid w:val="00082B60"/>
    <w:rsid w:val="00083A09"/>
    <w:rsid w:val="000854EA"/>
    <w:rsid w:val="0008605C"/>
    <w:rsid w:val="000863CF"/>
    <w:rsid w:val="00086DAE"/>
    <w:rsid w:val="0009005E"/>
    <w:rsid w:val="00092857"/>
    <w:rsid w:val="000934CC"/>
    <w:rsid w:val="000936DC"/>
    <w:rsid w:val="00093935"/>
    <w:rsid w:val="00094AAD"/>
    <w:rsid w:val="000951E5"/>
    <w:rsid w:val="000953FF"/>
    <w:rsid w:val="0009688E"/>
    <w:rsid w:val="00096A4E"/>
    <w:rsid w:val="0009737E"/>
    <w:rsid w:val="00097970"/>
    <w:rsid w:val="000A0687"/>
    <w:rsid w:val="000A0999"/>
    <w:rsid w:val="000A0A02"/>
    <w:rsid w:val="000A20A9"/>
    <w:rsid w:val="000A3100"/>
    <w:rsid w:val="000A32D2"/>
    <w:rsid w:val="000A3687"/>
    <w:rsid w:val="000A3FB4"/>
    <w:rsid w:val="000A3FC5"/>
    <w:rsid w:val="000A48B1"/>
    <w:rsid w:val="000A4F9D"/>
    <w:rsid w:val="000A5814"/>
    <w:rsid w:val="000A61AC"/>
    <w:rsid w:val="000A6521"/>
    <w:rsid w:val="000A7300"/>
    <w:rsid w:val="000A7313"/>
    <w:rsid w:val="000B04DC"/>
    <w:rsid w:val="000B062E"/>
    <w:rsid w:val="000B0E19"/>
    <w:rsid w:val="000B1022"/>
    <w:rsid w:val="000B19F9"/>
    <w:rsid w:val="000B3143"/>
    <w:rsid w:val="000B41B3"/>
    <w:rsid w:val="000B4230"/>
    <w:rsid w:val="000B4294"/>
    <w:rsid w:val="000B4A86"/>
    <w:rsid w:val="000B4DF1"/>
    <w:rsid w:val="000B5C0C"/>
    <w:rsid w:val="000B63EF"/>
    <w:rsid w:val="000B7893"/>
    <w:rsid w:val="000C020F"/>
    <w:rsid w:val="000C0B0C"/>
    <w:rsid w:val="000C1F25"/>
    <w:rsid w:val="000C2F59"/>
    <w:rsid w:val="000C44BF"/>
    <w:rsid w:val="000C49B9"/>
    <w:rsid w:val="000C4F34"/>
    <w:rsid w:val="000C5D58"/>
    <w:rsid w:val="000C6B05"/>
    <w:rsid w:val="000C6DD6"/>
    <w:rsid w:val="000C6E4F"/>
    <w:rsid w:val="000C73D4"/>
    <w:rsid w:val="000D01AF"/>
    <w:rsid w:val="000D145B"/>
    <w:rsid w:val="000D1A40"/>
    <w:rsid w:val="000D2CF3"/>
    <w:rsid w:val="000D395A"/>
    <w:rsid w:val="000D3C00"/>
    <w:rsid w:val="000D3D4C"/>
    <w:rsid w:val="000D4143"/>
    <w:rsid w:val="000D4283"/>
    <w:rsid w:val="000D4913"/>
    <w:rsid w:val="000D4EF2"/>
    <w:rsid w:val="000D4F51"/>
    <w:rsid w:val="000D4F5F"/>
    <w:rsid w:val="000D5AF7"/>
    <w:rsid w:val="000D718B"/>
    <w:rsid w:val="000E044A"/>
    <w:rsid w:val="000E0536"/>
    <w:rsid w:val="000E06E6"/>
    <w:rsid w:val="000E0C46"/>
    <w:rsid w:val="000E0CF0"/>
    <w:rsid w:val="000E262A"/>
    <w:rsid w:val="000E3C4A"/>
    <w:rsid w:val="000E5465"/>
    <w:rsid w:val="000E55B1"/>
    <w:rsid w:val="000E6AD8"/>
    <w:rsid w:val="000E75B9"/>
    <w:rsid w:val="000F030C"/>
    <w:rsid w:val="000F129C"/>
    <w:rsid w:val="000F23D7"/>
    <w:rsid w:val="000F2914"/>
    <w:rsid w:val="000F38B8"/>
    <w:rsid w:val="000F4C06"/>
    <w:rsid w:val="000F4F09"/>
    <w:rsid w:val="000F568D"/>
    <w:rsid w:val="000F5F71"/>
    <w:rsid w:val="000F649A"/>
    <w:rsid w:val="00101580"/>
    <w:rsid w:val="0010165E"/>
    <w:rsid w:val="00101F6E"/>
    <w:rsid w:val="00102DA3"/>
    <w:rsid w:val="00102DD2"/>
    <w:rsid w:val="001035F3"/>
    <w:rsid w:val="001038F6"/>
    <w:rsid w:val="001056DE"/>
    <w:rsid w:val="001056E7"/>
    <w:rsid w:val="0010581B"/>
    <w:rsid w:val="00106E25"/>
    <w:rsid w:val="0010715D"/>
    <w:rsid w:val="00107799"/>
    <w:rsid w:val="00110596"/>
    <w:rsid w:val="00110A1E"/>
    <w:rsid w:val="0011171C"/>
    <w:rsid w:val="001124C0"/>
    <w:rsid w:val="001128FE"/>
    <w:rsid w:val="0011460D"/>
    <w:rsid w:val="00114F89"/>
    <w:rsid w:val="0011546C"/>
    <w:rsid w:val="001155C3"/>
    <w:rsid w:val="001155E3"/>
    <w:rsid w:val="00116230"/>
    <w:rsid w:val="0012166F"/>
    <w:rsid w:val="00122612"/>
    <w:rsid w:val="00122684"/>
    <w:rsid w:val="001226F1"/>
    <w:rsid w:val="0012397B"/>
    <w:rsid w:val="00123BBA"/>
    <w:rsid w:val="001244FF"/>
    <w:rsid w:val="00126CEE"/>
    <w:rsid w:val="00127831"/>
    <w:rsid w:val="00127847"/>
    <w:rsid w:val="0013175F"/>
    <w:rsid w:val="001324EF"/>
    <w:rsid w:val="00133112"/>
    <w:rsid w:val="00133F6E"/>
    <w:rsid w:val="0013605B"/>
    <w:rsid w:val="00136806"/>
    <w:rsid w:val="00136A5D"/>
    <w:rsid w:val="00144D7A"/>
    <w:rsid w:val="00145B75"/>
    <w:rsid w:val="00146543"/>
    <w:rsid w:val="001465BF"/>
    <w:rsid w:val="0014740C"/>
    <w:rsid w:val="0015009E"/>
    <w:rsid w:val="001512B4"/>
    <w:rsid w:val="0015294D"/>
    <w:rsid w:val="00152BB6"/>
    <w:rsid w:val="001538D4"/>
    <w:rsid w:val="001553B2"/>
    <w:rsid w:val="0015604F"/>
    <w:rsid w:val="00156115"/>
    <w:rsid w:val="00156272"/>
    <w:rsid w:val="00156DB4"/>
    <w:rsid w:val="00157792"/>
    <w:rsid w:val="00157B30"/>
    <w:rsid w:val="001608A2"/>
    <w:rsid w:val="00161B5D"/>
    <w:rsid w:val="001620A5"/>
    <w:rsid w:val="00164E53"/>
    <w:rsid w:val="00165439"/>
    <w:rsid w:val="00165498"/>
    <w:rsid w:val="00166967"/>
    <w:rsid w:val="0016699D"/>
    <w:rsid w:val="001730BE"/>
    <w:rsid w:val="00173230"/>
    <w:rsid w:val="0017360D"/>
    <w:rsid w:val="00173DA8"/>
    <w:rsid w:val="00175159"/>
    <w:rsid w:val="00176208"/>
    <w:rsid w:val="00177F50"/>
    <w:rsid w:val="00181EA7"/>
    <w:rsid w:val="0018211B"/>
    <w:rsid w:val="0018299F"/>
    <w:rsid w:val="001840D3"/>
    <w:rsid w:val="00184866"/>
    <w:rsid w:val="00184890"/>
    <w:rsid w:val="00185E8F"/>
    <w:rsid w:val="00187888"/>
    <w:rsid w:val="001900F8"/>
    <w:rsid w:val="00190BB6"/>
    <w:rsid w:val="00190DA0"/>
    <w:rsid w:val="00191258"/>
    <w:rsid w:val="00191259"/>
    <w:rsid w:val="0019161B"/>
    <w:rsid w:val="00192680"/>
    <w:rsid w:val="00192E31"/>
    <w:rsid w:val="00193037"/>
    <w:rsid w:val="001937A0"/>
    <w:rsid w:val="001938E6"/>
    <w:rsid w:val="00193A2C"/>
    <w:rsid w:val="001945AC"/>
    <w:rsid w:val="001971D9"/>
    <w:rsid w:val="00197319"/>
    <w:rsid w:val="001973D9"/>
    <w:rsid w:val="00197FB6"/>
    <w:rsid w:val="001A1018"/>
    <w:rsid w:val="001A2203"/>
    <w:rsid w:val="001A288E"/>
    <w:rsid w:val="001A4727"/>
    <w:rsid w:val="001A55DB"/>
    <w:rsid w:val="001A5A97"/>
    <w:rsid w:val="001A5D37"/>
    <w:rsid w:val="001A63B2"/>
    <w:rsid w:val="001A6AE4"/>
    <w:rsid w:val="001A7361"/>
    <w:rsid w:val="001A7CD6"/>
    <w:rsid w:val="001B0970"/>
    <w:rsid w:val="001B12F0"/>
    <w:rsid w:val="001B2021"/>
    <w:rsid w:val="001B35A9"/>
    <w:rsid w:val="001B3620"/>
    <w:rsid w:val="001B3D73"/>
    <w:rsid w:val="001B41E0"/>
    <w:rsid w:val="001B48B4"/>
    <w:rsid w:val="001B64A9"/>
    <w:rsid w:val="001B6DC2"/>
    <w:rsid w:val="001B7041"/>
    <w:rsid w:val="001B7264"/>
    <w:rsid w:val="001B7D95"/>
    <w:rsid w:val="001C0836"/>
    <w:rsid w:val="001C0C24"/>
    <w:rsid w:val="001C149C"/>
    <w:rsid w:val="001C21AC"/>
    <w:rsid w:val="001C47BA"/>
    <w:rsid w:val="001C4EE4"/>
    <w:rsid w:val="001C4F10"/>
    <w:rsid w:val="001C5353"/>
    <w:rsid w:val="001C59EA"/>
    <w:rsid w:val="001C650E"/>
    <w:rsid w:val="001C677E"/>
    <w:rsid w:val="001C6B03"/>
    <w:rsid w:val="001D04A4"/>
    <w:rsid w:val="001D081C"/>
    <w:rsid w:val="001D10A1"/>
    <w:rsid w:val="001D3EDA"/>
    <w:rsid w:val="001D401D"/>
    <w:rsid w:val="001D406C"/>
    <w:rsid w:val="001D41EE"/>
    <w:rsid w:val="001D4DA0"/>
    <w:rsid w:val="001D74B8"/>
    <w:rsid w:val="001D74ED"/>
    <w:rsid w:val="001D7E91"/>
    <w:rsid w:val="001E0380"/>
    <w:rsid w:val="001E09F9"/>
    <w:rsid w:val="001E0E06"/>
    <w:rsid w:val="001E13B1"/>
    <w:rsid w:val="001E2145"/>
    <w:rsid w:val="001E2C03"/>
    <w:rsid w:val="001E33AF"/>
    <w:rsid w:val="001E4179"/>
    <w:rsid w:val="001E5788"/>
    <w:rsid w:val="001E7721"/>
    <w:rsid w:val="001E7D36"/>
    <w:rsid w:val="001E7DDA"/>
    <w:rsid w:val="001F1AC8"/>
    <w:rsid w:val="001F1CB7"/>
    <w:rsid w:val="001F2BC6"/>
    <w:rsid w:val="001F3787"/>
    <w:rsid w:val="001F39C9"/>
    <w:rsid w:val="001F3A19"/>
    <w:rsid w:val="001F3CBF"/>
    <w:rsid w:val="001F3CDF"/>
    <w:rsid w:val="001F4A9D"/>
    <w:rsid w:val="001F50E7"/>
    <w:rsid w:val="001F5F69"/>
    <w:rsid w:val="001F6CC3"/>
    <w:rsid w:val="001F7466"/>
    <w:rsid w:val="0020040E"/>
    <w:rsid w:val="00202FEF"/>
    <w:rsid w:val="00205178"/>
    <w:rsid w:val="002051D8"/>
    <w:rsid w:val="002065EA"/>
    <w:rsid w:val="002067A1"/>
    <w:rsid w:val="00207187"/>
    <w:rsid w:val="00207309"/>
    <w:rsid w:val="00207312"/>
    <w:rsid w:val="00207590"/>
    <w:rsid w:val="00212ADC"/>
    <w:rsid w:val="002130A5"/>
    <w:rsid w:val="002139A0"/>
    <w:rsid w:val="00213B69"/>
    <w:rsid w:val="00215A5B"/>
    <w:rsid w:val="00215C7A"/>
    <w:rsid w:val="00216FCC"/>
    <w:rsid w:val="00217167"/>
    <w:rsid w:val="002174DA"/>
    <w:rsid w:val="002200F4"/>
    <w:rsid w:val="002210D2"/>
    <w:rsid w:val="00221C42"/>
    <w:rsid w:val="0022339F"/>
    <w:rsid w:val="00223431"/>
    <w:rsid w:val="00223A8D"/>
    <w:rsid w:val="00223DEA"/>
    <w:rsid w:val="00225510"/>
    <w:rsid w:val="00225CE1"/>
    <w:rsid w:val="00226B86"/>
    <w:rsid w:val="00226D18"/>
    <w:rsid w:val="002272F3"/>
    <w:rsid w:val="002276EB"/>
    <w:rsid w:val="00227B59"/>
    <w:rsid w:val="002305CC"/>
    <w:rsid w:val="00231221"/>
    <w:rsid w:val="0023219A"/>
    <w:rsid w:val="0023397C"/>
    <w:rsid w:val="002341C0"/>
    <w:rsid w:val="00234467"/>
    <w:rsid w:val="002364F4"/>
    <w:rsid w:val="00236822"/>
    <w:rsid w:val="00237565"/>
    <w:rsid w:val="00237762"/>
    <w:rsid w:val="00237D8D"/>
    <w:rsid w:val="002403E5"/>
    <w:rsid w:val="00240F61"/>
    <w:rsid w:val="00241DA2"/>
    <w:rsid w:val="00242566"/>
    <w:rsid w:val="00243A10"/>
    <w:rsid w:val="002442A2"/>
    <w:rsid w:val="002442C6"/>
    <w:rsid w:val="00244D6F"/>
    <w:rsid w:val="00245898"/>
    <w:rsid w:val="00245B79"/>
    <w:rsid w:val="00247FEE"/>
    <w:rsid w:val="00250777"/>
    <w:rsid w:val="00250E7D"/>
    <w:rsid w:val="00254209"/>
    <w:rsid w:val="00254941"/>
    <w:rsid w:val="002565D5"/>
    <w:rsid w:val="00257654"/>
    <w:rsid w:val="002576D6"/>
    <w:rsid w:val="00261238"/>
    <w:rsid w:val="0026212E"/>
    <w:rsid w:val="002622C0"/>
    <w:rsid w:val="00262E3A"/>
    <w:rsid w:val="002634FA"/>
    <w:rsid w:val="00263C8C"/>
    <w:rsid w:val="00264A2C"/>
    <w:rsid w:val="002653E7"/>
    <w:rsid w:val="002666EF"/>
    <w:rsid w:val="00270160"/>
    <w:rsid w:val="00271C30"/>
    <w:rsid w:val="00272D5E"/>
    <w:rsid w:val="002731E5"/>
    <w:rsid w:val="00273F03"/>
    <w:rsid w:val="00274280"/>
    <w:rsid w:val="00275663"/>
    <w:rsid w:val="00276270"/>
    <w:rsid w:val="0027707D"/>
    <w:rsid w:val="002774E6"/>
    <w:rsid w:val="002778AE"/>
    <w:rsid w:val="0028269A"/>
    <w:rsid w:val="00283590"/>
    <w:rsid w:val="00284454"/>
    <w:rsid w:val="0028459C"/>
    <w:rsid w:val="002846B1"/>
    <w:rsid w:val="002850C6"/>
    <w:rsid w:val="00286696"/>
    <w:rsid w:val="00286973"/>
    <w:rsid w:val="002872E2"/>
    <w:rsid w:val="00287C9F"/>
    <w:rsid w:val="002926D0"/>
    <w:rsid w:val="0029412B"/>
    <w:rsid w:val="00294E70"/>
    <w:rsid w:val="00295290"/>
    <w:rsid w:val="002977CD"/>
    <w:rsid w:val="00297D40"/>
    <w:rsid w:val="002A1343"/>
    <w:rsid w:val="002A1924"/>
    <w:rsid w:val="002A2526"/>
    <w:rsid w:val="002A2EA8"/>
    <w:rsid w:val="002A3361"/>
    <w:rsid w:val="002A344B"/>
    <w:rsid w:val="002A3A78"/>
    <w:rsid w:val="002A511D"/>
    <w:rsid w:val="002A67AC"/>
    <w:rsid w:val="002A7420"/>
    <w:rsid w:val="002B06D8"/>
    <w:rsid w:val="002B0F12"/>
    <w:rsid w:val="002B1308"/>
    <w:rsid w:val="002B1CCC"/>
    <w:rsid w:val="002B4554"/>
    <w:rsid w:val="002B52D0"/>
    <w:rsid w:val="002B601A"/>
    <w:rsid w:val="002B6EDB"/>
    <w:rsid w:val="002C119F"/>
    <w:rsid w:val="002C1892"/>
    <w:rsid w:val="002C1990"/>
    <w:rsid w:val="002C2D99"/>
    <w:rsid w:val="002C3043"/>
    <w:rsid w:val="002C408B"/>
    <w:rsid w:val="002C4A2D"/>
    <w:rsid w:val="002C5134"/>
    <w:rsid w:val="002C5724"/>
    <w:rsid w:val="002C6EE2"/>
    <w:rsid w:val="002C7134"/>
    <w:rsid w:val="002C72D8"/>
    <w:rsid w:val="002C7A61"/>
    <w:rsid w:val="002D11FA"/>
    <w:rsid w:val="002D16D0"/>
    <w:rsid w:val="002D1C55"/>
    <w:rsid w:val="002D1E36"/>
    <w:rsid w:val="002D2A6B"/>
    <w:rsid w:val="002D3AAD"/>
    <w:rsid w:val="002D4BA5"/>
    <w:rsid w:val="002D626B"/>
    <w:rsid w:val="002D65C8"/>
    <w:rsid w:val="002E0593"/>
    <w:rsid w:val="002E0DDF"/>
    <w:rsid w:val="002E0E95"/>
    <w:rsid w:val="002E1BA4"/>
    <w:rsid w:val="002E2286"/>
    <w:rsid w:val="002E2906"/>
    <w:rsid w:val="002E2E4D"/>
    <w:rsid w:val="002E2FB7"/>
    <w:rsid w:val="002E3342"/>
    <w:rsid w:val="002E363B"/>
    <w:rsid w:val="002E5635"/>
    <w:rsid w:val="002E589C"/>
    <w:rsid w:val="002E5B15"/>
    <w:rsid w:val="002E64C3"/>
    <w:rsid w:val="002E6A2C"/>
    <w:rsid w:val="002E75F4"/>
    <w:rsid w:val="002E76F0"/>
    <w:rsid w:val="002F0116"/>
    <w:rsid w:val="002F02B9"/>
    <w:rsid w:val="002F1346"/>
    <w:rsid w:val="002F1791"/>
    <w:rsid w:val="002F1D8C"/>
    <w:rsid w:val="002F21DA"/>
    <w:rsid w:val="002F246D"/>
    <w:rsid w:val="002F2552"/>
    <w:rsid w:val="002F3EAE"/>
    <w:rsid w:val="002F4414"/>
    <w:rsid w:val="002F46B6"/>
    <w:rsid w:val="002F7B28"/>
    <w:rsid w:val="00300098"/>
    <w:rsid w:val="00301636"/>
    <w:rsid w:val="003019D3"/>
    <w:rsid w:val="00301F39"/>
    <w:rsid w:val="00302E7D"/>
    <w:rsid w:val="00303862"/>
    <w:rsid w:val="003046EF"/>
    <w:rsid w:val="00304728"/>
    <w:rsid w:val="00304FA3"/>
    <w:rsid w:val="003075BB"/>
    <w:rsid w:val="00310712"/>
    <w:rsid w:val="003108C5"/>
    <w:rsid w:val="00310E11"/>
    <w:rsid w:val="00311567"/>
    <w:rsid w:val="00311E62"/>
    <w:rsid w:val="00312800"/>
    <w:rsid w:val="00312F63"/>
    <w:rsid w:val="0031338C"/>
    <w:rsid w:val="003160D7"/>
    <w:rsid w:val="00316457"/>
    <w:rsid w:val="00316610"/>
    <w:rsid w:val="003175A6"/>
    <w:rsid w:val="0031777F"/>
    <w:rsid w:val="00317AFA"/>
    <w:rsid w:val="00317CDD"/>
    <w:rsid w:val="00320601"/>
    <w:rsid w:val="003223A4"/>
    <w:rsid w:val="00323A45"/>
    <w:rsid w:val="00323E84"/>
    <w:rsid w:val="003252DC"/>
    <w:rsid w:val="00325926"/>
    <w:rsid w:val="00326572"/>
    <w:rsid w:val="00326C7B"/>
    <w:rsid w:val="00327A8A"/>
    <w:rsid w:val="00327F31"/>
    <w:rsid w:val="00331F15"/>
    <w:rsid w:val="0033295A"/>
    <w:rsid w:val="00333447"/>
    <w:rsid w:val="00335142"/>
    <w:rsid w:val="00335C36"/>
    <w:rsid w:val="00335DC3"/>
    <w:rsid w:val="00336610"/>
    <w:rsid w:val="00336FDE"/>
    <w:rsid w:val="003370E4"/>
    <w:rsid w:val="00337401"/>
    <w:rsid w:val="003406C9"/>
    <w:rsid w:val="0034170C"/>
    <w:rsid w:val="00343A2D"/>
    <w:rsid w:val="00343AF7"/>
    <w:rsid w:val="00343F73"/>
    <w:rsid w:val="00345060"/>
    <w:rsid w:val="00346377"/>
    <w:rsid w:val="003477B3"/>
    <w:rsid w:val="0035054C"/>
    <w:rsid w:val="00350ACB"/>
    <w:rsid w:val="00351444"/>
    <w:rsid w:val="003530EF"/>
    <w:rsid w:val="0035322D"/>
    <w:rsid w:val="0035323B"/>
    <w:rsid w:val="00353933"/>
    <w:rsid w:val="00356920"/>
    <w:rsid w:val="00356C1D"/>
    <w:rsid w:val="00360055"/>
    <w:rsid w:val="003604BE"/>
    <w:rsid w:val="003609D2"/>
    <w:rsid w:val="00361C00"/>
    <w:rsid w:val="00361F78"/>
    <w:rsid w:val="00363819"/>
    <w:rsid w:val="00363D3B"/>
    <w:rsid w:val="00363F22"/>
    <w:rsid w:val="003640A6"/>
    <w:rsid w:val="00364E25"/>
    <w:rsid w:val="0037211D"/>
    <w:rsid w:val="00372F5C"/>
    <w:rsid w:val="003736E5"/>
    <w:rsid w:val="003741BB"/>
    <w:rsid w:val="003749E2"/>
    <w:rsid w:val="00375564"/>
    <w:rsid w:val="003758B5"/>
    <w:rsid w:val="00375B94"/>
    <w:rsid w:val="003760EC"/>
    <w:rsid w:val="003764F1"/>
    <w:rsid w:val="00381DC3"/>
    <w:rsid w:val="00383191"/>
    <w:rsid w:val="00383318"/>
    <w:rsid w:val="003833C0"/>
    <w:rsid w:val="0038368F"/>
    <w:rsid w:val="00384F4C"/>
    <w:rsid w:val="0038560C"/>
    <w:rsid w:val="00385EED"/>
    <w:rsid w:val="00386964"/>
    <w:rsid w:val="00386B8F"/>
    <w:rsid w:val="00386DED"/>
    <w:rsid w:val="00390398"/>
    <w:rsid w:val="00390BE4"/>
    <w:rsid w:val="003912E7"/>
    <w:rsid w:val="00391ABA"/>
    <w:rsid w:val="00392DD3"/>
    <w:rsid w:val="00392E9A"/>
    <w:rsid w:val="003932A7"/>
    <w:rsid w:val="00393947"/>
    <w:rsid w:val="00393C96"/>
    <w:rsid w:val="00396537"/>
    <w:rsid w:val="00396686"/>
    <w:rsid w:val="00397CA7"/>
    <w:rsid w:val="003A17DB"/>
    <w:rsid w:val="003A1EC6"/>
    <w:rsid w:val="003A2275"/>
    <w:rsid w:val="003A3744"/>
    <w:rsid w:val="003A6A4F"/>
    <w:rsid w:val="003A6CAF"/>
    <w:rsid w:val="003A6CE1"/>
    <w:rsid w:val="003A7088"/>
    <w:rsid w:val="003B00DF"/>
    <w:rsid w:val="003B0495"/>
    <w:rsid w:val="003B09D2"/>
    <w:rsid w:val="003B0C43"/>
    <w:rsid w:val="003B1275"/>
    <w:rsid w:val="003B12A0"/>
    <w:rsid w:val="003B1403"/>
    <w:rsid w:val="003B1778"/>
    <w:rsid w:val="003B1B97"/>
    <w:rsid w:val="003B28B8"/>
    <w:rsid w:val="003B309A"/>
    <w:rsid w:val="003B5A33"/>
    <w:rsid w:val="003B5F16"/>
    <w:rsid w:val="003B74F7"/>
    <w:rsid w:val="003C0923"/>
    <w:rsid w:val="003C10FA"/>
    <w:rsid w:val="003C11CB"/>
    <w:rsid w:val="003C2E11"/>
    <w:rsid w:val="003C480D"/>
    <w:rsid w:val="003C4CA4"/>
    <w:rsid w:val="003C4F2C"/>
    <w:rsid w:val="003C57F5"/>
    <w:rsid w:val="003C6D75"/>
    <w:rsid w:val="003C75F3"/>
    <w:rsid w:val="003C78A3"/>
    <w:rsid w:val="003C7DF1"/>
    <w:rsid w:val="003D0D09"/>
    <w:rsid w:val="003D1ABA"/>
    <w:rsid w:val="003D244D"/>
    <w:rsid w:val="003D3342"/>
    <w:rsid w:val="003D3497"/>
    <w:rsid w:val="003D65CE"/>
    <w:rsid w:val="003D786F"/>
    <w:rsid w:val="003E052E"/>
    <w:rsid w:val="003E06C5"/>
    <w:rsid w:val="003E1867"/>
    <w:rsid w:val="003E2134"/>
    <w:rsid w:val="003E2179"/>
    <w:rsid w:val="003E3902"/>
    <w:rsid w:val="003E5729"/>
    <w:rsid w:val="003E5A87"/>
    <w:rsid w:val="003E63C6"/>
    <w:rsid w:val="003E74B5"/>
    <w:rsid w:val="003F0A18"/>
    <w:rsid w:val="003F13F4"/>
    <w:rsid w:val="003F21E5"/>
    <w:rsid w:val="003F268C"/>
    <w:rsid w:val="003F2F9E"/>
    <w:rsid w:val="003F2FA7"/>
    <w:rsid w:val="003F42A9"/>
    <w:rsid w:val="003F4E5A"/>
    <w:rsid w:val="003F4E71"/>
    <w:rsid w:val="003F4EE0"/>
    <w:rsid w:val="003F57EB"/>
    <w:rsid w:val="003F600A"/>
    <w:rsid w:val="003F6190"/>
    <w:rsid w:val="003F689C"/>
    <w:rsid w:val="003F6D55"/>
    <w:rsid w:val="003F781F"/>
    <w:rsid w:val="003F7B81"/>
    <w:rsid w:val="004007A6"/>
    <w:rsid w:val="00401532"/>
    <w:rsid w:val="0040157E"/>
    <w:rsid w:val="004016F5"/>
    <w:rsid w:val="00401873"/>
    <w:rsid w:val="00401D54"/>
    <w:rsid w:val="00401E28"/>
    <w:rsid w:val="004020A8"/>
    <w:rsid w:val="00402153"/>
    <w:rsid w:val="00402461"/>
    <w:rsid w:val="00402934"/>
    <w:rsid w:val="00402FC1"/>
    <w:rsid w:val="00403071"/>
    <w:rsid w:val="0040319A"/>
    <w:rsid w:val="00403255"/>
    <w:rsid w:val="004042C1"/>
    <w:rsid w:val="00404E3A"/>
    <w:rsid w:val="00404EB0"/>
    <w:rsid w:val="004051E2"/>
    <w:rsid w:val="00406219"/>
    <w:rsid w:val="0041130B"/>
    <w:rsid w:val="004122A4"/>
    <w:rsid w:val="00412E64"/>
    <w:rsid w:val="00414B50"/>
    <w:rsid w:val="00415F22"/>
    <w:rsid w:val="00417052"/>
    <w:rsid w:val="00417420"/>
    <w:rsid w:val="00420531"/>
    <w:rsid w:val="00422634"/>
    <w:rsid w:val="00422DA6"/>
    <w:rsid w:val="004238E7"/>
    <w:rsid w:val="0042471D"/>
    <w:rsid w:val="00425059"/>
    <w:rsid w:val="00425082"/>
    <w:rsid w:val="00425644"/>
    <w:rsid w:val="004257B5"/>
    <w:rsid w:val="00430CE8"/>
    <w:rsid w:val="00431D10"/>
    <w:rsid w:val="00431DEB"/>
    <w:rsid w:val="00432156"/>
    <w:rsid w:val="004321C9"/>
    <w:rsid w:val="004321CA"/>
    <w:rsid w:val="00434355"/>
    <w:rsid w:val="0043484E"/>
    <w:rsid w:val="004352CD"/>
    <w:rsid w:val="00440047"/>
    <w:rsid w:val="004416DF"/>
    <w:rsid w:val="004421A7"/>
    <w:rsid w:val="004425E8"/>
    <w:rsid w:val="00443E78"/>
    <w:rsid w:val="00444F4A"/>
    <w:rsid w:val="00445D51"/>
    <w:rsid w:val="00445F47"/>
    <w:rsid w:val="00446A23"/>
    <w:rsid w:val="00446B29"/>
    <w:rsid w:val="00446C4C"/>
    <w:rsid w:val="00447BCF"/>
    <w:rsid w:val="004505C8"/>
    <w:rsid w:val="00450A69"/>
    <w:rsid w:val="00450E29"/>
    <w:rsid w:val="0045381B"/>
    <w:rsid w:val="00453F9A"/>
    <w:rsid w:val="0045441B"/>
    <w:rsid w:val="0045454F"/>
    <w:rsid w:val="00454C08"/>
    <w:rsid w:val="00454E81"/>
    <w:rsid w:val="0045580D"/>
    <w:rsid w:val="00456C05"/>
    <w:rsid w:val="004571D5"/>
    <w:rsid w:val="00460582"/>
    <w:rsid w:val="00461565"/>
    <w:rsid w:val="00463D92"/>
    <w:rsid w:val="00464179"/>
    <w:rsid w:val="0046464D"/>
    <w:rsid w:val="004657FB"/>
    <w:rsid w:val="00467705"/>
    <w:rsid w:val="00467893"/>
    <w:rsid w:val="00467CDD"/>
    <w:rsid w:val="00471E91"/>
    <w:rsid w:val="00472A14"/>
    <w:rsid w:val="004730CE"/>
    <w:rsid w:val="0047333E"/>
    <w:rsid w:val="00473933"/>
    <w:rsid w:val="00473E39"/>
    <w:rsid w:val="0047418A"/>
    <w:rsid w:val="0047446D"/>
    <w:rsid w:val="00474675"/>
    <w:rsid w:val="0047470C"/>
    <w:rsid w:val="00474DDD"/>
    <w:rsid w:val="00474F14"/>
    <w:rsid w:val="004771D2"/>
    <w:rsid w:val="0047737B"/>
    <w:rsid w:val="00477499"/>
    <w:rsid w:val="004775C1"/>
    <w:rsid w:val="00477646"/>
    <w:rsid w:val="00480141"/>
    <w:rsid w:val="0048075A"/>
    <w:rsid w:val="0048233C"/>
    <w:rsid w:val="0048235D"/>
    <w:rsid w:val="00483AD0"/>
    <w:rsid w:val="00484063"/>
    <w:rsid w:val="004863BC"/>
    <w:rsid w:val="004864EB"/>
    <w:rsid w:val="00487320"/>
    <w:rsid w:val="004879D5"/>
    <w:rsid w:val="00487D62"/>
    <w:rsid w:val="00491BEA"/>
    <w:rsid w:val="00492326"/>
    <w:rsid w:val="00492C94"/>
    <w:rsid w:val="00492EB0"/>
    <w:rsid w:val="00493C6E"/>
    <w:rsid w:val="004976B1"/>
    <w:rsid w:val="00497AEB"/>
    <w:rsid w:val="00497EB4"/>
    <w:rsid w:val="004A08B9"/>
    <w:rsid w:val="004A13CA"/>
    <w:rsid w:val="004A3155"/>
    <w:rsid w:val="004A35F9"/>
    <w:rsid w:val="004A3ADE"/>
    <w:rsid w:val="004A3D01"/>
    <w:rsid w:val="004A44E7"/>
    <w:rsid w:val="004A4524"/>
    <w:rsid w:val="004A4982"/>
    <w:rsid w:val="004A4BBE"/>
    <w:rsid w:val="004A4F1A"/>
    <w:rsid w:val="004A693C"/>
    <w:rsid w:val="004A74D6"/>
    <w:rsid w:val="004B03F9"/>
    <w:rsid w:val="004B04FB"/>
    <w:rsid w:val="004B095E"/>
    <w:rsid w:val="004B09EE"/>
    <w:rsid w:val="004B0ED2"/>
    <w:rsid w:val="004B0FB3"/>
    <w:rsid w:val="004B1718"/>
    <w:rsid w:val="004B24C1"/>
    <w:rsid w:val="004B351A"/>
    <w:rsid w:val="004B3BC0"/>
    <w:rsid w:val="004B4049"/>
    <w:rsid w:val="004B417D"/>
    <w:rsid w:val="004B4329"/>
    <w:rsid w:val="004B477B"/>
    <w:rsid w:val="004B4797"/>
    <w:rsid w:val="004B63BF"/>
    <w:rsid w:val="004C0298"/>
    <w:rsid w:val="004C148E"/>
    <w:rsid w:val="004C1B52"/>
    <w:rsid w:val="004C1BD3"/>
    <w:rsid w:val="004C1EB6"/>
    <w:rsid w:val="004C292F"/>
    <w:rsid w:val="004C2D86"/>
    <w:rsid w:val="004C549A"/>
    <w:rsid w:val="004C5B65"/>
    <w:rsid w:val="004C5BE3"/>
    <w:rsid w:val="004C6763"/>
    <w:rsid w:val="004C6813"/>
    <w:rsid w:val="004C68D4"/>
    <w:rsid w:val="004C776F"/>
    <w:rsid w:val="004D2238"/>
    <w:rsid w:val="004D30E7"/>
    <w:rsid w:val="004D38C7"/>
    <w:rsid w:val="004D3F1D"/>
    <w:rsid w:val="004D47A6"/>
    <w:rsid w:val="004D4BF9"/>
    <w:rsid w:val="004D52B4"/>
    <w:rsid w:val="004D5382"/>
    <w:rsid w:val="004D53E0"/>
    <w:rsid w:val="004D54E6"/>
    <w:rsid w:val="004D5E5D"/>
    <w:rsid w:val="004D6734"/>
    <w:rsid w:val="004D6887"/>
    <w:rsid w:val="004E27C3"/>
    <w:rsid w:val="004E36C1"/>
    <w:rsid w:val="004E5D98"/>
    <w:rsid w:val="004E61F1"/>
    <w:rsid w:val="004E6619"/>
    <w:rsid w:val="004E6E3F"/>
    <w:rsid w:val="004F06AF"/>
    <w:rsid w:val="004F11B1"/>
    <w:rsid w:val="004F14BF"/>
    <w:rsid w:val="004F3E40"/>
    <w:rsid w:val="004F3F51"/>
    <w:rsid w:val="004F46D2"/>
    <w:rsid w:val="004F4B41"/>
    <w:rsid w:val="004F4C8D"/>
    <w:rsid w:val="004F5CB6"/>
    <w:rsid w:val="004F6B92"/>
    <w:rsid w:val="005006D2"/>
    <w:rsid w:val="005009DB"/>
    <w:rsid w:val="0050169C"/>
    <w:rsid w:val="00501B19"/>
    <w:rsid w:val="00503183"/>
    <w:rsid w:val="005040FA"/>
    <w:rsid w:val="00504F59"/>
    <w:rsid w:val="005066D0"/>
    <w:rsid w:val="005070FC"/>
    <w:rsid w:val="005073EE"/>
    <w:rsid w:val="0051008D"/>
    <w:rsid w:val="00510280"/>
    <w:rsid w:val="005105C3"/>
    <w:rsid w:val="00510FEB"/>
    <w:rsid w:val="00511D3E"/>
    <w:rsid w:val="005126DC"/>
    <w:rsid w:val="005127B2"/>
    <w:rsid w:val="00513D73"/>
    <w:rsid w:val="00514A43"/>
    <w:rsid w:val="00514A8F"/>
    <w:rsid w:val="0051588F"/>
    <w:rsid w:val="00516205"/>
    <w:rsid w:val="005165A4"/>
    <w:rsid w:val="005165ED"/>
    <w:rsid w:val="005167A3"/>
    <w:rsid w:val="00516F49"/>
    <w:rsid w:val="005174E5"/>
    <w:rsid w:val="005212BB"/>
    <w:rsid w:val="00521F7D"/>
    <w:rsid w:val="00521FB2"/>
    <w:rsid w:val="00522197"/>
    <w:rsid w:val="00522393"/>
    <w:rsid w:val="00522620"/>
    <w:rsid w:val="00522BBA"/>
    <w:rsid w:val="00522DC9"/>
    <w:rsid w:val="00522EEF"/>
    <w:rsid w:val="00525656"/>
    <w:rsid w:val="0052595D"/>
    <w:rsid w:val="00525F64"/>
    <w:rsid w:val="00526D20"/>
    <w:rsid w:val="00526FF2"/>
    <w:rsid w:val="005270ED"/>
    <w:rsid w:val="0052771C"/>
    <w:rsid w:val="00530C6D"/>
    <w:rsid w:val="0053142D"/>
    <w:rsid w:val="005317A3"/>
    <w:rsid w:val="0053192F"/>
    <w:rsid w:val="00531B96"/>
    <w:rsid w:val="00533073"/>
    <w:rsid w:val="0053308B"/>
    <w:rsid w:val="00533761"/>
    <w:rsid w:val="00534156"/>
    <w:rsid w:val="00534C02"/>
    <w:rsid w:val="005359EF"/>
    <w:rsid w:val="0053642A"/>
    <w:rsid w:val="00537966"/>
    <w:rsid w:val="00537F24"/>
    <w:rsid w:val="00540117"/>
    <w:rsid w:val="005407C4"/>
    <w:rsid w:val="005418A1"/>
    <w:rsid w:val="005419C0"/>
    <w:rsid w:val="00541D64"/>
    <w:rsid w:val="0054264B"/>
    <w:rsid w:val="00542AA9"/>
    <w:rsid w:val="005431A7"/>
    <w:rsid w:val="00543786"/>
    <w:rsid w:val="00544141"/>
    <w:rsid w:val="005442BA"/>
    <w:rsid w:val="0054450C"/>
    <w:rsid w:val="0054507F"/>
    <w:rsid w:val="005462ED"/>
    <w:rsid w:val="00546807"/>
    <w:rsid w:val="00546D15"/>
    <w:rsid w:val="005470D4"/>
    <w:rsid w:val="00547207"/>
    <w:rsid w:val="00547D5D"/>
    <w:rsid w:val="005501E7"/>
    <w:rsid w:val="00550DE8"/>
    <w:rsid w:val="0055152F"/>
    <w:rsid w:val="00551903"/>
    <w:rsid w:val="00551E47"/>
    <w:rsid w:val="00552155"/>
    <w:rsid w:val="005521DF"/>
    <w:rsid w:val="00552586"/>
    <w:rsid w:val="005533D7"/>
    <w:rsid w:val="0055446C"/>
    <w:rsid w:val="00554D0B"/>
    <w:rsid w:val="0055726B"/>
    <w:rsid w:val="00557927"/>
    <w:rsid w:val="00560E90"/>
    <w:rsid w:val="005617EC"/>
    <w:rsid w:val="0056218B"/>
    <w:rsid w:val="0056232E"/>
    <w:rsid w:val="00562E45"/>
    <w:rsid w:val="00563668"/>
    <w:rsid w:val="00565029"/>
    <w:rsid w:val="005650E3"/>
    <w:rsid w:val="0056553C"/>
    <w:rsid w:val="005655F6"/>
    <w:rsid w:val="00566397"/>
    <w:rsid w:val="00566B09"/>
    <w:rsid w:val="005679A8"/>
    <w:rsid w:val="005703DE"/>
    <w:rsid w:val="0057078F"/>
    <w:rsid w:val="00571E4A"/>
    <w:rsid w:val="00573C6A"/>
    <w:rsid w:val="00574BFC"/>
    <w:rsid w:val="00575716"/>
    <w:rsid w:val="00580F1B"/>
    <w:rsid w:val="00582827"/>
    <w:rsid w:val="005832B4"/>
    <w:rsid w:val="0058464E"/>
    <w:rsid w:val="0058493E"/>
    <w:rsid w:val="00584B4A"/>
    <w:rsid w:val="00584C51"/>
    <w:rsid w:val="00585530"/>
    <w:rsid w:val="005869C5"/>
    <w:rsid w:val="00587357"/>
    <w:rsid w:val="00591A88"/>
    <w:rsid w:val="00592D71"/>
    <w:rsid w:val="00592FCE"/>
    <w:rsid w:val="00593B48"/>
    <w:rsid w:val="00593D1C"/>
    <w:rsid w:val="00595C84"/>
    <w:rsid w:val="005969E9"/>
    <w:rsid w:val="0059709E"/>
    <w:rsid w:val="005A01CB"/>
    <w:rsid w:val="005A1D9F"/>
    <w:rsid w:val="005A3602"/>
    <w:rsid w:val="005A362E"/>
    <w:rsid w:val="005A58AD"/>
    <w:rsid w:val="005A58FF"/>
    <w:rsid w:val="005A5EAF"/>
    <w:rsid w:val="005A64C0"/>
    <w:rsid w:val="005A6EAC"/>
    <w:rsid w:val="005B1837"/>
    <w:rsid w:val="005B1BCF"/>
    <w:rsid w:val="005B2A24"/>
    <w:rsid w:val="005B363F"/>
    <w:rsid w:val="005B3C11"/>
    <w:rsid w:val="005B41CB"/>
    <w:rsid w:val="005B45A0"/>
    <w:rsid w:val="005B4624"/>
    <w:rsid w:val="005B5305"/>
    <w:rsid w:val="005B5B62"/>
    <w:rsid w:val="005B66D1"/>
    <w:rsid w:val="005B6707"/>
    <w:rsid w:val="005C0B77"/>
    <w:rsid w:val="005C0D51"/>
    <w:rsid w:val="005C1764"/>
    <w:rsid w:val="005C1C28"/>
    <w:rsid w:val="005C2433"/>
    <w:rsid w:val="005C4112"/>
    <w:rsid w:val="005C43EA"/>
    <w:rsid w:val="005C513D"/>
    <w:rsid w:val="005C5219"/>
    <w:rsid w:val="005C6355"/>
    <w:rsid w:val="005C6D09"/>
    <w:rsid w:val="005C6DB5"/>
    <w:rsid w:val="005D193A"/>
    <w:rsid w:val="005D3124"/>
    <w:rsid w:val="005D7A34"/>
    <w:rsid w:val="005E001B"/>
    <w:rsid w:val="005E03B2"/>
    <w:rsid w:val="005E0602"/>
    <w:rsid w:val="005E0A50"/>
    <w:rsid w:val="005E1494"/>
    <w:rsid w:val="005E1811"/>
    <w:rsid w:val="005E19E7"/>
    <w:rsid w:val="005E1F13"/>
    <w:rsid w:val="005E2418"/>
    <w:rsid w:val="005E4378"/>
    <w:rsid w:val="005E4F14"/>
    <w:rsid w:val="005E55CA"/>
    <w:rsid w:val="005E605B"/>
    <w:rsid w:val="005E6986"/>
    <w:rsid w:val="005F0D35"/>
    <w:rsid w:val="005F1738"/>
    <w:rsid w:val="005F2537"/>
    <w:rsid w:val="005F4C39"/>
    <w:rsid w:val="005F4D72"/>
    <w:rsid w:val="005F53D5"/>
    <w:rsid w:val="005F6250"/>
    <w:rsid w:val="005F6ECC"/>
    <w:rsid w:val="0060092B"/>
    <w:rsid w:val="00600C90"/>
    <w:rsid w:val="00600D02"/>
    <w:rsid w:val="00603B16"/>
    <w:rsid w:val="00604D0A"/>
    <w:rsid w:val="00607DA7"/>
    <w:rsid w:val="0061113F"/>
    <w:rsid w:val="006114DA"/>
    <w:rsid w:val="006120EB"/>
    <w:rsid w:val="00613379"/>
    <w:rsid w:val="00614574"/>
    <w:rsid w:val="00614EBD"/>
    <w:rsid w:val="006157A6"/>
    <w:rsid w:val="00615B6B"/>
    <w:rsid w:val="00616F0F"/>
    <w:rsid w:val="0061716C"/>
    <w:rsid w:val="0061786C"/>
    <w:rsid w:val="00617BA6"/>
    <w:rsid w:val="00620956"/>
    <w:rsid w:val="00620BF1"/>
    <w:rsid w:val="00621C4D"/>
    <w:rsid w:val="006243A1"/>
    <w:rsid w:val="00624690"/>
    <w:rsid w:val="00624821"/>
    <w:rsid w:val="006275F8"/>
    <w:rsid w:val="00627BC9"/>
    <w:rsid w:val="006308BD"/>
    <w:rsid w:val="00630931"/>
    <w:rsid w:val="00630A2E"/>
    <w:rsid w:val="0063144B"/>
    <w:rsid w:val="0063177B"/>
    <w:rsid w:val="00631C00"/>
    <w:rsid w:val="00631F25"/>
    <w:rsid w:val="00632330"/>
    <w:rsid w:val="00632E56"/>
    <w:rsid w:val="0063386E"/>
    <w:rsid w:val="00633B51"/>
    <w:rsid w:val="006346C8"/>
    <w:rsid w:val="00635CBA"/>
    <w:rsid w:val="00637421"/>
    <w:rsid w:val="00637A46"/>
    <w:rsid w:val="00641345"/>
    <w:rsid w:val="00641B65"/>
    <w:rsid w:val="006424FE"/>
    <w:rsid w:val="00642C8E"/>
    <w:rsid w:val="00642CAF"/>
    <w:rsid w:val="0064338B"/>
    <w:rsid w:val="006452C6"/>
    <w:rsid w:val="00645C92"/>
    <w:rsid w:val="00646542"/>
    <w:rsid w:val="00646C71"/>
    <w:rsid w:val="006501E9"/>
    <w:rsid w:val="006504F4"/>
    <w:rsid w:val="006508B6"/>
    <w:rsid w:val="006509E3"/>
    <w:rsid w:val="00650C9A"/>
    <w:rsid w:val="00651333"/>
    <w:rsid w:val="00652CBC"/>
    <w:rsid w:val="00654091"/>
    <w:rsid w:val="00654BC9"/>
    <w:rsid w:val="00654F18"/>
    <w:rsid w:val="006552FD"/>
    <w:rsid w:val="00655FBA"/>
    <w:rsid w:val="00656687"/>
    <w:rsid w:val="00656944"/>
    <w:rsid w:val="006601A7"/>
    <w:rsid w:val="00663AF3"/>
    <w:rsid w:val="00664C9E"/>
    <w:rsid w:val="00666B6C"/>
    <w:rsid w:val="00667909"/>
    <w:rsid w:val="00667BAE"/>
    <w:rsid w:val="00667CFA"/>
    <w:rsid w:val="00667DB1"/>
    <w:rsid w:val="00667DED"/>
    <w:rsid w:val="006711AA"/>
    <w:rsid w:val="0067191E"/>
    <w:rsid w:val="006719ED"/>
    <w:rsid w:val="006734EB"/>
    <w:rsid w:val="00675B4E"/>
    <w:rsid w:val="00677AB7"/>
    <w:rsid w:val="006808A3"/>
    <w:rsid w:val="006811F0"/>
    <w:rsid w:val="00681EE3"/>
    <w:rsid w:val="00682682"/>
    <w:rsid w:val="00682702"/>
    <w:rsid w:val="00682989"/>
    <w:rsid w:val="00682CAE"/>
    <w:rsid w:val="006834E6"/>
    <w:rsid w:val="00685218"/>
    <w:rsid w:val="00686790"/>
    <w:rsid w:val="00686C3A"/>
    <w:rsid w:val="00687180"/>
    <w:rsid w:val="00690108"/>
    <w:rsid w:val="00690876"/>
    <w:rsid w:val="00692368"/>
    <w:rsid w:val="0069392A"/>
    <w:rsid w:val="00693CE7"/>
    <w:rsid w:val="006963F5"/>
    <w:rsid w:val="00697486"/>
    <w:rsid w:val="0069766B"/>
    <w:rsid w:val="00697A06"/>
    <w:rsid w:val="00697FAF"/>
    <w:rsid w:val="006A03FB"/>
    <w:rsid w:val="006A0BC3"/>
    <w:rsid w:val="006A16EC"/>
    <w:rsid w:val="006A1B30"/>
    <w:rsid w:val="006A1B9A"/>
    <w:rsid w:val="006A21FE"/>
    <w:rsid w:val="006A2EBC"/>
    <w:rsid w:val="006A3259"/>
    <w:rsid w:val="006A4B56"/>
    <w:rsid w:val="006A5D59"/>
    <w:rsid w:val="006A5EA0"/>
    <w:rsid w:val="006A67CA"/>
    <w:rsid w:val="006A6BCA"/>
    <w:rsid w:val="006A6DDD"/>
    <w:rsid w:val="006A783B"/>
    <w:rsid w:val="006A7B33"/>
    <w:rsid w:val="006B3039"/>
    <w:rsid w:val="006B4B54"/>
    <w:rsid w:val="006B4E13"/>
    <w:rsid w:val="006B50A7"/>
    <w:rsid w:val="006B5FC8"/>
    <w:rsid w:val="006B6754"/>
    <w:rsid w:val="006B6BA5"/>
    <w:rsid w:val="006B75DD"/>
    <w:rsid w:val="006C0775"/>
    <w:rsid w:val="006C114B"/>
    <w:rsid w:val="006C149E"/>
    <w:rsid w:val="006C14EE"/>
    <w:rsid w:val="006C2165"/>
    <w:rsid w:val="006C2464"/>
    <w:rsid w:val="006C4E08"/>
    <w:rsid w:val="006C512C"/>
    <w:rsid w:val="006C618D"/>
    <w:rsid w:val="006C670D"/>
    <w:rsid w:val="006C675D"/>
    <w:rsid w:val="006C67E0"/>
    <w:rsid w:val="006C6A7D"/>
    <w:rsid w:val="006C6F80"/>
    <w:rsid w:val="006C72E4"/>
    <w:rsid w:val="006C7ABA"/>
    <w:rsid w:val="006C7CED"/>
    <w:rsid w:val="006D0D4C"/>
    <w:rsid w:val="006D0D60"/>
    <w:rsid w:val="006D1122"/>
    <w:rsid w:val="006D1E8F"/>
    <w:rsid w:val="006D22E1"/>
    <w:rsid w:val="006D2DF8"/>
    <w:rsid w:val="006D3C00"/>
    <w:rsid w:val="006D4639"/>
    <w:rsid w:val="006D471A"/>
    <w:rsid w:val="006D4B04"/>
    <w:rsid w:val="006D55DF"/>
    <w:rsid w:val="006D6CF4"/>
    <w:rsid w:val="006D6D48"/>
    <w:rsid w:val="006D7D1C"/>
    <w:rsid w:val="006E0439"/>
    <w:rsid w:val="006E0765"/>
    <w:rsid w:val="006E21D2"/>
    <w:rsid w:val="006E3675"/>
    <w:rsid w:val="006E442F"/>
    <w:rsid w:val="006E45A0"/>
    <w:rsid w:val="006E4A7F"/>
    <w:rsid w:val="006E4C22"/>
    <w:rsid w:val="006E5516"/>
    <w:rsid w:val="006E7830"/>
    <w:rsid w:val="006F0E87"/>
    <w:rsid w:val="006F27B4"/>
    <w:rsid w:val="006F2E97"/>
    <w:rsid w:val="006F4098"/>
    <w:rsid w:val="006F489C"/>
    <w:rsid w:val="006F4B47"/>
    <w:rsid w:val="006F511E"/>
    <w:rsid w:val="006F63D8"/>
    <w:rsid w:val="007040C1"/>
    <w:rsid w:val="00704DF6"/>
    <w:rsid w:val="00705067"/>
    <w:rsid w:val="0070509D"/>
    <w:rsid w:val="0070651C"/>
    <w:rsid w:val="007071E9"/>
    <w:rsid w:val="0070723D"/>
    <w:rsid w:val="00707E00"/>
    <w:rsid w:val="0071019F"/>
    <w:rsid w:val="00710239"/>
    <w:rsid w:val="0071029E"/>
    <w:rsid w:val="007126A3"/>
    <w:rsid w:val="00713155"/>
    <w:rsid w:val="007132A3"/>
    <w:rsid w:val="0071532C"/>
    <w:rsid w:val="00715A79"/>
    <w:rsid w:val="00716421"/>
    <w:rsid w:val="007169CE"/>
    <w:rsid w:val="00717F85"/>
    <w:rsid w:val="00720C21"/>
    <w:rsid w:val="007216B0"/>
    <w:rsid w:val="00724EFB"/>
    <w:rsid w:val="007307B7"/>
    <w:rsid w:val="00731619"/>
    <w:rsid w:val="00733A4B"/>
    <w:rsid w:val="00736752"/>
    <w:rsid w:val="00736A35"/>
    <w:rsid w:val="00736A6D"/>
    <w:rsid w:val="00736FAB"/>
    <w:rsid w:val="007419C3"/>
    <w:rsid w:val="00741B7B"/>
    <w:rsid w:val="00742050"/>
    <w:rsid w:val="0074206C"/>
    <w:rsid w:val="00742270"/>
    <w:rsid w:val="00742D0B"/>
    <w:rsid w:val="00742D81"/>
    <w:rsid w:val="00743207"/>
    <w:rsid w:val="00744F22"/>
    <w:rsid w:val="007460F3"/>
    <w:rsid w:val="007467A7"/>
    <w:rsid w:val="007468D4"/>
    <w:rsid w:val="007469AD"/>
    <w:rsid w:val="007469DD"/>
    <w:rsid w:val="00747287"/>
    <w:rsid w:val="0074741B"/>
    <w:rsid w:val="0074759E"/>
    <w:rsid w:val="007478EA"/>
    <w:rsid w:val="00751111"/>
    <w:rsid w:val="0075113F"/>
    <w:rsid w:val="00751546"/>
    <w:rsid w:val="00751786"/>
    <w:rsid w:val="0075356C"/>
    <w:rsid w:val="0075382C"/>
    <w:rsid w:val="00753F09"/>
    <w:rsid w:val="0075415C"/>
    <w:rsid w:val="007547EB"/>
    <w:rsid w:val="00754A31"/>
    <w:rsid w:val="007558F8"/>
    <w:rsid w:val="00756E5A"/>
    <w:rsid w:val="00757458"/>
    <w:rsid w:val="00757D16"/>
    <w:rsid w:val="00760C60"/>
    <w:rsid w:val="00761236"/>
    <w:rsid w:val="007616A6"/>
    <w:rsid w:val="00763502"/>
    <w:rsid w:val="00763860"/>
    <w:rsid w:val="00763E6F"/>
    <w:rsid w:val="007645FF"/>
    <w:rsid w:val="00764C34"/>
    <w:rsid w:val="007665F9"/>
    <w:rsid w:val="00770432"/>
    <w:rsid w:val="007717FC"/>
    <w:rsid w:val="00771B2B"/>
    <w:rsid w:val="00771B93"/>
    <w:rsid w:val="007722CC"/>
    <w:rsid w:val="00772451"/>
    <w:rsid w:val="0077426E"/>
    <w:rsid w:val="007754A9"/>
    <w:rsid w:val="00775ACF"/>
    <w:rsid w:val="007808A0"/>
    <w:rsid w:val="00781481"/>
    <w:rsid w:val="00781503"/>
    <w:rsid w:val="00781BA1"/>
    <w:rsid w:val="00781DAB"/>
    <w:rsid w:val="00784CC7"/>
    <w:rsid w:val="00785EFF"/>
    <w:rsid w:val="0078630A"/>
    <w:rsid w:val="00786EA5"/>
    <w:rsid w:val="007913AB"/>
    <w:rsid w:val="007914F7"/>
    <w:rsid w:val="007927CC"/>
    <w:rsid w:val="007932F7"/>
    <w:rsid w:val="00793F8C"/>
    <w:rsid w:val="00794352"/>
    <w:rsid w:val="007974A0"/>
    <w:rsid w:val="00797F2A"/>
    <w:rsid w:val="007A0177"/>
    <w:rsid w:val="007A0293"/>
    <w:rsid w:val="007A2AF4"/>
    <w:rsid w:val="007A3265"/>
    <w:rsid w:val="007A4519"/>
    <w:rsid w:val="007A4A5A"/>
    <w:rsid w:val="007A53DC"/>
    <w:rsid w:val="007A54FE"/>
    <w:rsid w:val="007A554D"/>
    <w:rsid w:val="007A591F"/>
    <w:rsid w:val="007A5BE0"/>
    <w:rsid w:val="007B008E"/>
    <w:rsid w:val="007B06C9"/>
    <w:rsid w:val="007B1625"/>
    <w:rsid w:val="007B56D6"/>
    <w:rsid w:val="007B5EE9"/>
    <w:rsid w:val="007B706E"/>
    <w:rsid w:val="007B71EB"/>
    <w:rsid w:val="007C157E"/>
    <w:rsid w:val="007C3E4D"/>
    <w:rsid w:val="007C41DE"/>
    <w:rsid w:val="007C4802"/>
    <w:rsid w:val="007C4BBC"/>
    <w:rsid w:val="007C5140"/>
    <w:rsid w:val="007C5AAB"/>
    <w:rsid w:val="007C6205"/>
    <w:rsid w:val="007C686A"/>
    <w:rsid w:val="007C6D2A"/>
    <w:rsid w:val="007C7048"/>
    <w:rsid w:val="007C728E"/>
    <w:rsid w:val="007C7C77"/>
    <w:rsid w:val="007D2A8A"/>
    <w:rsid w:val="007D2C53"/>
    <w:rsid w:val="007D321C"/>
    <w:rsid w:val="007D3648"/>
    <w:rsid w:val="007D3D60"/>
    <w:rsid w:val="007D3F6C"/>
    <w:rsid w:val="007D4A35"/>
    <w:rsid w:val="007D7694"/>
    <w:rsid w:val="007E1980"/>
    <w:rsid w:val="007E2C16"/>
    <w:rsid w:val="007E4A1D"/>
    <w:rsid w:val="007E4B76"/>
    <w:rsid w:val="007E5816"/>
    <w:rsid w:val="007E5EA8"/>
    <w:rsid w:val="007E6607"/>
    <w:rsid w:val="007E67CC"/>
    <w:rsid w:val="007E6837"/>
    <w:rsid w:val="007E784B"/>
    <w:rsid w:val="007E7A1C"/>
    <w:rsid w:val="007E7B8D"/>
    <w:rsid w:val="007F03F2"/>
    <w:rsid w:val="007F0CF1"/>
    <w:rsid w:val="007F1187"/>
    <w:rsid w:val="007F12A5"/>
    <w:rsid w:val="007F18F9"/>
    <w:rsid w:val="007F24E8"/>
    <w:rsid w:val="007F3F18"/>
    <w:rsid w:val="007F3F5D"/>
    <w:rsid w:val="007F47A0"/>
    <w:rsid w:val="007F4CF1"/>
    <w:rsid w:val="007F555C"/>
    <w:rsid w:val="007F6E26"/>
    <w:rsid w:val="007F758D"/>
    <w:rsid w:val="007F7D52"/>
    <w:rsid w:val="00800953"/>
    <w:rsid w:val="0080126B"/>
    <w:rsid w:val="0080316E"/>
    <w:rsid w:val="008042CE"/>
    <w:rsid w:val="00804D18"/>
    <w:rsid w:val="00805358"/>
    <w:rsid w:val="00805AAA"/>
    <w:rsid w:val="0080654C"/>
    <w:rsid w:val="0080699E"/>
    <w:rsid w:val="008071C6"/>
    <w:rsid w:val="00807589"/>
    <w:rsid w:val="008101C6"/>
    <w:rsid w:val="00811AA6"/>
    <w:rsid w:val="008130C6"/>
    <w:rsid w:val="008162CD"/>
    <w:rsid w:val="008168EC"/>
    <w:rsid w:val="00817436"/>
    <w:rsid w:val="00817A00"/>
    <w:rsid w:val="00822947"/>
    <w:rsid w:val="00822C86"/>
    <w:rsid w:val="0082598B"/>
    <w:rsid w:val="00825A4D"/>
    <w:rsid w:val="00826166"/>
    <w:rsid w:val="00826236"/>
    <w:rsid w:val="008272D1"/>
    <w:rsid w:val="00830F60"/>
    <w:rsid w:val="00833E6B"/>
    <w:rsid w:val="00833EF4"/>
    <w:rsid w:val="00835DB3"/>
    <w:rsid w:val="0083617B"/>
    <w:rsid w:val="008371BD"/>
    <w:rsid w:val="00841FD5"/>
    <w:rsid w:val="00842FA4"/>
    <w:rsid w:val="00843758"/>
    <w:rsid w:val="00843850"/>
    <w:rsid w:val="00844473"/>
    <w:rsid w:val="00844A45"/>
    <w:rsid w:val="00844DF8"/>
    <w:rsid w:val="00844E5A"/>
    <w:rsid w:val="008450C2"/>
    <w:rsid w:val="00847815"/>
    <w:rsid w:val="00847C58"/>
    <w:rsid w:val="008504A8"/>
    <w:rsid w:val="00851291"/>
    <w:rsid w:val="0085207F"/>
    <w:rsid w:val="0085282E"/>
    <w:rsid w:val="0085427C"/>
    <w:rsid w:val="00855371"/>
    <w:rsid w:val="00855EE8"/>
    <w:rsid w:val="00856A70"/>
    <w:rsid w:val="00856E05"/>
    <w:rsid w:val="00856E07"/>
    <w:rsid w:val="00857869"/>
    <w:rsid w:val="00857E3D"/>
    <w:rsid w:val="00857EA9"/>
    <w:rsid w:val="00860F5A"/>
    <w:rsid w:val="00861728"/>
    <w:rsid w:val="00861C86"/>
    <w:rsid w:val="0086265F"/>
    <w:rsid w:val="0086411F"/>
    <w:rsid w:val="00865D5F"/>
    <w:rsid w:val="008661A8"/>
    <w:rsid w:val="00867F05"/>
    <w:rsid w:val="0087031E"/>
    <w:rsid w:val="00870445"/>
    <w:rsid w:val="0087198C"/>
    <w:rsid w:val="00872C1F"/>
    <w:rsid w:val="0087343F"/>
    <w:rsid w:val="0087369C"/>
    <w:rsid w:val="00873B42"/>
    <w:rsid w:val="0087441E"/>
    <w:rsid w:val="00875972"/>
    <w:rsid w:val="00876A98"/>
    <w:rsid w:val="00876DE7"/>
    <w:rsid w:val="00877505"/>
    <w:rsid w:val="00877CA2"/>
    <w:rsid w:val="0088062D"/>
    <w:rsid w:val="00880743"/>
    <w:rsid w:val="0088094B"/>
    <w:rsid w:val="008856D8"/>
    <w:rsid w:val="008914D6"/>
    <w:rsid w:val="0089192B"/>
    <w:rsid w:val="00892E82"/>
    <w:rsid w:val="0089328B"/>
    <w:rsid w:val="00894CC3"/>
    <w:rsid w:val="0089546B"/>
    <w:rsid w:val="00895D6A"/>
    <w:rsid w:val="00896368"/>
    <w:rsid w:val="0089660A"/>
    <w:rsid w:val="00897281"/>
    <w:rsid w:val="008A0F94"/>
    <w:rsid w:val="008A12D8"/>
    <w:rsid w:val="008A3EA4"/>
    <w:rsid w:val="008A5AC5"/>
    <w:rsid w:val="008A6D3B"/>
    <w:rsid w:val="008A7781"/>
    <w:rsid w:val="008A7BCF"/>
    <w:rsid w:val="008B12F1"/>
    <w:rsid w:val="008B3684"/>
    <w:rsid w:val="008B3A00"/>
    <w:rsid w:val="008B3B7B"/>
    <w:rsid w:val="008B3E79"/>
    <w:rsid w:val="008B5262"/>
    <w:rsid w:val="008B5DCB"/>
    <w:rsid w:val="008B5DEA"/>
    <w:rsid w:val="008B5F31"/>
    <w:rsid w:val="008B6913"/>
    <w:rsid w:val="008B6BAE"/>
    <w:rsid w:val="008C0600"/>
    <w:rsid w:val="008C1B58"/>
    <w:rsid w:val="008C306E"/>
    <w:rsid w:val="008C34B3"/>
    <w:rsid w:val="008C34D7"/>
    <w:rsid w:val="008C39AE"/>
    <w:rsid w:val="008C4B3F"/>
    <w:rsid w:val="008C55A3"/>
    <w:rsid w:val="008C590D"/>
    <w:rsid w:val="008C69F3"/>
    <w:rsid w:val="008C6B7C"/>
    <w:rsid w:val="008C755D"/>
    <w:rsid w:val="008D1290"/>
    <w:rsid w:val="008D207B"/>
    <w:rsid w:val="008D4513"/>
    <w:rsid w:val="008D4D17"/>
    <w:rsid w:val="008D5046"/>
    <w:rsid w:val="008D6052"/>
    <w:rsid w:val="008D6F82"/>
    <w:rsid w:val="008D6FFA"/>
    <w:rsid w:val="008D7350"/>
    <w:rsid w:val="008D737F"/>
    <w:rsid w:val="008D7751"/>
    <w:rsid w:val="008E031B"/>
    <w:rsid w:val="008E0E18"/>
    <w:rsid w:val="008E3B13"/>
    <w:rsid w:val="008E3E93"/>
    <w:rsid w:val="008E4605"/>
    <w:rsid w:val="008E4AF4"/>
    <w:rsid w:val="008E6F11"/>
    <w:rsid w:val="008E7029"/>
    <w:rsid w:val="008E7C09"/>
    <w:rsid w:val="008E7EF6"/>
    <w:rsid w:val="008F030B"/>
    <w:rsid w:val="008F1A1D"/>
    <w:rsid w:val="008F1E7A"/>
    <w:rsid w:val="008F1F98"/>
    <w:rsid w:val="008F2B5D"/>
    <w:rsid w:val="008F3724"/>
    <w:rsid w:val="008F373D"/>
    <w:rsid w:val="008F57CE"/>
    <w:rsid w:val="008F5C9D"/>
    <w:rsid w:val="008F6744"/>
    <w:rsid w:val="008F6758"/>
    <w:rsid w:val="008F6CF8"/>
    <w:rsid w:val="008F734B"/>
    <w:rsid w:val="0090018A"/>
    <w:rsid w:val="00901F02"/>
    <w:rsid w:val="0090228B"/>
    <w:rsid w:val="00903E22"/>
    <w:rsid w:val="0090401C"/>
    <w:rsid w:val="009040DD"/>
    <w:rsid w:val="00904446"/>
    <w:rsid w:val="00905407"/>
    <w:rsid w:val="00905B47"/>
    <w:rsid w:val="00905F00"/>
    <w:rsid w:val="00906315"/>
    <w:rsid w:val="0090676C"/>
    <w:rsid w:val="00906C80"/>
    <w:rsid w:val="00907120"/>
    <w:rsid w:val="0090786E"/>
    <w:rsid w:val="00907D42"/>
    <w:rsid w:val="00911AEA"/>
    <w:rsid w:val="0091331C"/>
    <w:rsid w:val="009137F8"/>
    <w:rsid w:val="00913A34"/>
    <w:rsid w:val="00913AA5"/>
    <w:rsid w:val="00914C7D"/>
    <w:rsid w:val="0091500F"/>
    <w:rsid w:val="009150A8"/>
    <w:rsid w:val="00915260"/>
    <w:rsid w:val="0091564C"/>
    <w:rsid w:val="009177F3"/>
    <w:rsid w:val="009179D2"/>
    <w:rsid w:val="0092265F"/>
    <w:rsid w:val="00922A57"/>
    <w:rsid w:val="009232BF"/>
    <w:rsid w:val="00923A34"/>
    <w:rsid w:val="00925F30"/>
    <w:rsid w:val="00926656"/>
    <w:rsid w:val="00926D19"/>
    <w:rsid w:val="009279DE"/>
    <w:rsid w:val="00930116"/>
    <w:rsid w:val="009304E2"/>
    <w:rsid w:val="00933CE9"/>
    <w:rsid w:val="00935868"/>
    <w:rsid w:val="00935BCB"/>
    <w:rsid w:val="009378EF"/>
    <w:rsid w:val="00940497"/>
    <w:rsid w:val="00941092"/>
    <w:rsid w:val="00941E99"/>
    <w:rsid w:val="0094212C"/>
    <w:rsid w:val="00942361"/>
    <w:rsid w:val="0094265B"/>
    <w:rsid w:val="00942973"/>
    <w:rsid w:val="00943979"/>
    <w:rsid w:val="00943F07"/>
    <w:rsid w:val="00944EC6"/>
    <w:rsid w:val="00947143"/>
    <w:rsid w:val="00947229"/>
    <w:rsid w:val="00950E09"/>
    <w:rsid w:val="00951611"/>
    <w:rsid w:val="0095181E"/>
    <w:rsid w:val="00951CB6"/>
    <w:rsid w:val="00951F27"/>
    <w:rsid w:val="00952478"/>
    <w:rsid w:val="00952EA0"/>
    <w:rsid w:val="00953C70"/>
    <w:rsid w:val="00953CBC"/>
    <w:rsid w:val="00954689"/>
    <w:rsid w:val="009548D0"/>
    <w:rsid w:val="00957F18"/>
    <w:rsid w:val="00960193"/>
    <w:rsid w:val="00960447"/>
    <w:rsid w:val="009617C9"/>
    <w:rsid w:val="00961C93"/>
    <w:rsid w:val="00961E34"/>
    <w:rsid w:val="00962073"/>
    <w:rsid w:val="00962461"/>
    <w:rsid w:val="00962B79"/>
    <w:rsid w:val="00962EF3"/>
    <w:rsid w:val="009631CB"/>
    <w:rsid w:val="0096335C"/>
    <w:rsid w:val="00964444"/>
    <w:rsid w:val="0096451E"/>
    <w:rsid w:val="0096467A"/>
    <w:rsid w:val="00964996"/>
    <w:rsid w:val="00965108"/>
    <w:rsid w:val="00965324"/>
    <w:rsid w:val="00965B16"/>
    <w:rsid w:val="00970590"/>
    <w:rsid w:val="0097091E"/>
    <w:rsid w:val="00970BF5"/>
    <w:rsid w:val="00970D4B"/>
    <w:rsid w:val="0097137D"/>
    <w:rsid w:val="00972777"/>
    <w:rsid w:val="0097393C"/>
    <w:rsid w:val="0097537A"/>
    <w:rsid w:val="0097591F"/>
    <w:rsid w:val="009760D3"/>
    <w:rsid w:val="00977132"/>
    <w:rsid w:val="00977E6E"/>
    <w:rsid w:val="00980D2A"/>
    <w:rsid w:val="0098164E"/>
    <w:rsid w:val="00981A4B"/>
    <w:rsid w:val="00982501"/>
    <w:rsid w:val="0098295C"/>
    <w:rsid w:val="00983F2C"/>
    <w:rsid w:val="00984B2B"/>
    <w:rsid w:val="009865AE"/>
    <w:rsid w:val="00986CEB"/>
    <w:rsid w:val="009877D3"/>
    <w:rsid w:val="0098783E"/>
    <w:rsid w:val="00987ED9"/>
    <w:rsid w:val="00987F74"/>
    <w:rsid w:val="00991584"/>
    <w:rsid w:val="00991E6D"/>
    <w:rsid w:val="0099280F"/>
    <w:rsid w:val="00994032"/>
    <w:rsid w:val="00994451"/>
    <w:rsid w:val="0099471D"/>
    <w:rsid w:val="00994E8F"/>
    <w:rsid w:val="009951DC"/>
    <w:rsid w:val="009959BB"/>
    <w:rsid w:val="009959EB"/>
    <w:rsid w:val="00996005"/>
    <w:rsid w:val="00997158"/>
    <w:rsid w:val="009A0F16"/>
    <w:rsid w:val="009A3A7C"/>
    <w:rsid w:val="009A6206"/>
    <w:rsid w:val="009A6612"/>
    <w:rsid w:val="009B00FC"/>
    <w:rsid w:val="009B0A70"/>
    <w:rsid w:val="009B1A99"/>
    <w:rsid w:val="009B1FAD"/>
    <w:rsid w:val="009B2ADB"/>
    <w:rsid w:val="009B2E24"/>
    <w:rsid w:val="009B310A"/>
    <w:rsid w:val="009B3BD2"/>
    <w:rsid w:val="009B59B7"/>
    <w:rsid w:val="009B5F75"/>
    <w:rsid w:val="009B603A"/>
    <w:rsid w:val="009B7C1D"/>
    <w:rsid w:val="009B7FA2"/>
    <w:rsid w:val="009C1191"/>
    <w:rsid w:val="009C1211"/>
    <w:rsid w:val="009C2D0E"/>
    <w:rsid w:val="009C2F4D"/>
    <w:rsid w:val="009C331E"/>
    <w:rsid w:val="009C3DAC"/>
    <w:rsid w:val="009C42E0"/>
    <w:rsid w:val="009C448C"/>
    <w:rsid w:val="009C53F1"/>
    <w:rsid w:val="009C7B54"/>
    <w:rsid w:val="009D08CC"/>
    <w:rsid w:val="009D22DA"/>
    <w:rsid w:val="009D22EC"/>
    <w:rsid w:val="009D2301"/>
    <w:rsid w:val="009D260D"/>
    <w:rsid w:val="009D3235"/>
    <w:rsid w:val="009D5362"/>
    <w:rsid w:val="009D60A4"/>
    <w:rsid w:val="009D665D"/>
    <w:rsid w:val="009D677A"/>
    <w:rsid w:val="009D69E5"/>
    <w:rsid w:val="009D7ED5"/>
    <w:rsid w:val="009E1415"/>
    <w:rsid w:val="009E1F5F"/>
    <w:rsid w:val="009E209C"/>
    <w:rsid w:val="009E2391"/>
    <w:rsid w:val="009E3816"/>
    <w:rsid w:val="009E3B2C"/>
    <w:rsid w:val="009E5F57"/>
    <w:rsid w:val="009E6116"/>
    <w:rsid w:val="009E6C31"/>
    <w:rsid w:val="009E7BF9"/>
    <w:rsid w:val="009F08F2"/>
    <w:rsid w:val="009F1787"/>
    <w:rsid w:val="009F2330"/>
    <w:rsid w:val="009F26D1"/>
    <w:rsid w:val="009F27EF"/>
    <w:rsid w:val="009F4158"/>
    <w:rsid w:val="009F4D63"/>
    <w:rsid w:val="009F73BE"/>
    <w:rsid w:val="00A00CB9"/>
    <w:rsid w:val="00A02767"/>
    <w:rsid w:val="00A02E43"/>
    <w:rsid w:val="00A05AA3"/>
    <w:rsid w:val="00A05FB0"/>
    <w:rsid w:val="00A065F9"/>
    <w:rsid w:val="00A06D5D"/>
    <w:rsid w:val="00A06DB7"/>
    <w:rsid w:val="00A07635"/>
    <w:rsid w:val="00A0764B"/>
    <w:rsid w:val="00A07699"/>
    <w:rsid w:val="00A07BC6"/>
    <w:rsid w:val="00A07F34"/>
    <w:rsid w:val="00A103CA"/>
    <w:rsid w:val="00A105AB"/>
    <w:rsid w:val="00A14565"/>
    <w:rsid w:val="00A1503C"/>
    <w:rsid w:val="00A1517F"/>
    <w:rsid w:val="00A15F8B"/>
    <w:rsid w:val="00A16981"/>
    <w:rsid w:val="00A173A2"/>
    <w:rsid w:val="00A20142"/>
    <w:rsid w:val="00A20BAE"/>
    <w:rsid w:val="00A2154D"/>
    <w:rsid w:val="00A22154"/>
    <w:rsid w:val="00A23D99"/>
    <w:rsid w:val="00A23E78"/>
    <w:rsid w:val="00A25C38"/>
    <w:rsid w:val="00A267C6"/>
    <w:rsid w:val="00A30E50"/>
    <w:rsid w:val="00A30E73"/>
    <w:rsid w:val="00A30E99"/>
    <w:rsid w:val="00A31987"/>
    <w:rsid w:val="00A31FF5"/>
    <w:rsid w:val="00A32F63"/>
    <w:rsid w:val="00A32FB6"/>
    <w:rsid w:val="00A33C86"/>
    <w:rsid w:val="00A33DAA"/>
    <w:rsid w:val="00A3615E"/>
    <w:rsid w:val="00A3634D"/>
    <w:rsid w:val="00A368B4"/>
    <w:rsid w:val="00A36BBE"/>
    <w:rsid w:val="00A37418"/>
    <w:rsid w:val="00A37B9E"/>
    <w:rsid w:val="00A408B7"/>
    <w:rsid w:val="00A418B4"/>
    <w:rsid w:val="00A41CC0"/>
    <w:rsid w:val="00A41E52"/>
    <w:rsid w:val="00A42EA8"/>
    <w:rsid w:val="00A4307A"/>
    <w:rsid w:val="00A47755"/>
    <w:rsid w:val="00A47EBB"/>
    <w:rsid w:val="00A50C9F"/>
    <w:rsid w:val="00A51B81"/>
    <w:rsid w:val="00A51C82"/>
    <w:rsid w:val="00A51CDD"/>
    <w:rsid w:val="00A5235F"/>
    <w:rsid w:val="00A52A74"/>
    <w:rsid w:val="00A5417E"/>
    <w:rsid w:val="00A57649"/>
    <w:rsid w:val="00A57F0C"/>
    <w:rsid w:val="00A6015C"/>
    <w:rsid w:val="00A60A38"/>
    <w:rsid w:val="00A60BC4"/>
    <w:rsid w:val="00A63161"/>
    <w:rsid w:val="00A6427F"/>
    <w:rsid w:val="00A64884"/>
    <w:rsid w:val="00A64C48"/>
    <w:rsid w:val="00A64E89"/>
    <w:rsid w:val="00A6730D"/>
    <w:rsid w:val="00A7005C"/>
    <w:rsid w:val="00A7055E"/>
    <w:rsid w:val="00A71625"/>
    <w:rsid w:val="00A716BB"/>
    <w:rsid w:val="00A71B9B"/>
    <w:rsid w:val="00A73263"/>
    <w:rsid w:val="00A751C7"/>
    <w:rsid w:val="00A75E40"/>
    <w:rsid w:val="00A76A8B"/>
    <w:rsid w:val="00A76E95"/>
    <w:rsid w:val="00A80076"/>
    <w:rsid w:val="00A80539"/>
    <w:rsid w:val="00A8298F"/>
    <w:rsid w:val="00A82F3D"/>
    <w:rsid w:val="00A8380B"/>
    <w:rsid w:val="00A8400A"/>
    <w:rsid w:val="00A84DAE"/>
    <w:rsid w:val="00A85995"/>
    <w:rsid w:val="00A85FDE"/>
    <w:rsid w:val="00A868E6"/>
    <w:rsid w:val="00A86A46"/>
    <w:rsid w:val="00A87844"/>
    <w:rsid w:val="00A9057B"/>
    <w:rsid w:val="00A91377"/>
    <w:rsid w:val="00A91BA8"/>
    <w:rsid w:val="00A92BF1"/>
    <w:rsid w:val="00A92F04"/>
    <w:rsid w:val="00A94154"/>
    <w:rsid w:val="00A945FE"/>
    <w:rsid w:val="00A94CDF"/>
    <w:rsid w:val="00A953A4"/>
    <w:rsid w:val="00A9613D"/>
    <w:rsid w:val="00AA038C"/>
    <w:rsid w:val="00AA09CC"/>
    <w:rsid w:val="00AA11E1"/>
    <w:rsid w:val="00AA1C9B"/>
    <w:rsid w:val="00AA2BC9"/>
    <w:rsid w:val="00AA2D23"/>
    <w:rsid w:val="00AA301F"/>
    <w:rsid w:val="00AA6120"/>
    <w:rsid w:val="00AA68B2"/>
    <w:rsid w:val="00AA6CD0"/>
    <w:rsid w:val="00AA705A"/>
    <w:rsid w:val="00AA7639"/>
    <w:rsid w:val="00AA76AA"/>
    <w:rsid w:val="00AA774F"/>
    <w:rsid w:val="00AA7A09"/>
    <w:rsid w:val="00AB0696"/>
    <w:rsid w:val="00AB20B6"/>
    <w:rsid w:val="00AB219C"/>
    <w:rsid w:val="00AB25A6"/>
    <w:rsid w:val="00AB2E4F"/>
    <w:rsid w:val="00AB3429"/>
    <w:rsid w:val="00AB3B50"/>
    <w:rsid w:val="00AB3FCC"/>
    <w:rsid w:val="00AB4286"/>
    <w:rsid w:val="00AB5146"/>
    <w:rsid w:val="00AC05B1"/>
    <w:rsid w:val="00AC0A42"/>
    <w:rsid w:val="00AC366B"/>
    <w:rsid w:val="00AC39CA"/>
    <w:rsid w:val="00AC5085"/>
    <w:rsid w:val="00AC788F"/>
    <w:rsid w:val="00AD1C58"/>
    <w:rsid w:val="00AD3170"/>
    <w:rsid w:val="00AD356C"/>
    <w:rsid w:val="00AD477C"/>
    <w:rsid w:val="00AD4936"/>
    <w:rsid w:val="00AD4A2A"/>
    <w:rsid w:val="00AD4C03"/>
    <w:rsid w:val="00AD4EC1"/>
    <w:rsid w:val="00AD6219"/>
    <w:rsid w:val="00AD7592"/>
    <w:rsid w:val="00AD7C0A"/>
    <w:rsid w:val="00AE0DEA"/>
    <w:rsid w:val="00AE1DBD"/>
    <w:rsid w:val="00AE2914"/>
    <w:rsid w:val="00AE3DAB"/>
    <w:rsid w:val="00AE3E9B"/>
    <w:rsid w:val="00AE4EDC"/>
    <w:rsid w:val="00AE4F39"/>
    <w:rsid w:val="00AE5485"/>
    <w:rsid w:val="00AE607C"/>
    <w:rsid w:val="00AE665D"/>
    <w:rsid w:val="00AE66C0"/>
    <w:rsid w:val="00AE6D15"/>
    <w:rsid w:val="00AE7FBF"/>
    <w:rsid w:val="00AF112B"/>
    <w:rsid w:val="00AF23F1"/>
    <w:rsid w:val="00AF6A0B"/>
    <w:rsid w:val="00AF7481"/>
    <w:rsid w:val="00AF7696"/>
    <w:rsid w:val="00AF7758"/>
    <w:rsid w:val="00AF7D8E"/>
    <w:rsid w:val="00B0040D"/>
    <w:rsid w:val="00B01C52"/>
    <w:rsid w:val="00B02399"/>
    <w:rsid w:val="00B03032"/>
    <w:rsid w:val="00B03894"/>
    <w:rsid w:val="00B04182"/>
    <w:rsid w:val="00B07AE3"/>
    <w:rsid w:val="00B07D31"/>
    <w:rsid w:val="00B07D6E"/>
    <w:rsid w:val="00B10093"/>
    <w:rsid w:val="00B10099"/>
    <w:rsid w:val="00B11430"/>
    <w:rsid w:val="00B134E9"/>
    <w:rsid w:val="00B13E5D"/>
    <w:rsid w:val="00B147B1"/>
    <w:rsid w:val="00B15C51"/>
    <w:rsid w:val="00B163F5"/>
    <w:rsid w:val="00B167E4"/>
    <w:rsid w:val="00B17DBF"/>
    <w:rsid w:val="00B17EC0"/>
    <w:rsid w:val="00B20165"/>
    <w:rsid w:val="00B2281D"/>
    <w:rsid w:val="00B22A76"/>
    <w:rsid w:val="00B2383A"/>
    <w:rsid w:val="00B24E8C"/>
    <w:rsid w:val="00B258BB"/>
    <w:rsid w:val="00B27F09"/>
    <w:rsid w:val="00B31AD8"/>
    <w:rsid w:val="00B3233B"/>
    <w:rsid w:val="00B3422A"/>
    <w:rsid w:val="00B3433A"/>
    <w:rsid w:val="00B3527E"/>
    <w:rsid w:val="00B353EB"/>
    <w:rsid w:val="00B37F05"/>
    <w:rsid w:val="00B40293"/>
    <w:rsid w:val="00B4103D"/>
    <w:rsid w:val="00B43412"/>
    <w:rsid w:val="00B439C4"/>
    <w:rsid w:val="00B43B56"/>
    <w:rsid w:val="00B43EB0"/>
    <w:rsid w:val="00B450B3"/>
    <w:rsid w:val="00B45245"/>
    <w:rsid w:val="00B452F0"/>
    <w:rsid w:val="00B4535E"/>
    <w:rsid w:val="00B50448"/>
    <w:rsid w:val="00B50AA4"/>
    <w:rsid w:val="00B51F1D"/>
    <w:rsid w:val="00B52A8C"/>
    <w:rsid w:val="00B52BDE"/>
    <w:rsid w:val="00B53D40"/>
    <w:rsid w:val="00B5428F"/>
    <w:rsid w:val="00B56EFF"/>
    <w:rsid w:val="00B56FDB"/>
    <w:rsid w:val="00B6042B"/>
    <w:rsid w:val="00B60D72"/>
    <w:rsid w:val="00B60DEF"/>
    <w:rsid w:val="00B636A8"/>
    <w:rsid w:val="00B642D6"/>
    <w:rsid w:val="00B65002"/>
    <w:rsid w:val="00B663F0"/>
    <w:rsid w:val="00B665C6"/>
    <w:rsid w:val="00B67301"/>
    <w:rsid w:val="00B674EF"/>
    <w:rsid w:val="00B67F36"/>
    <w:rsid w:val="00B70332"/>
    <w:rsid w:val="00B70985"/>
    <w:rsid w:val="00B70D35"/>
    <w:rsid w:val="00B718DE"/>
    <w:rsid w:val="00B72101"/>
    <w:rsid w:val="00B72D05"/>
    <w:rsid w:val="00B73E73"/>
    <w:rsid w:val="00B75243"/>
    <w:rsid w:val="00B7599C"/>
    <w:rsid w:val="00B805AF"/>
    <w:rsid w:val="00B80948"/>
    <w:rsid w:val="00B81955"/>
    <w:rsid w:val="00B81D08"/>
    <w:rsid w:val="00B832D4"/>
    <w:rsid w:val="00B83CC6"/>
    <w:rsid w:val="00B85A8E"/>
    <w:rsid w:val="00B85CE2"/>
    <w:rsid w:val="00B869EC"/>
    <w:rsid w:val="00B87B7E"/>
    <w:rsid w:val="00B87E6B"/>
    <w:rsid w:val="00B908ED"/>
    <w:rsid w:val="00B91E56"/>
    <w:rsid w:val="00B92F1D"/>
    <w:rsid w:val="00B9397A"/>
    <w:rsid w:val="00B9633D"/>
    <w:rsid w:val="00B97334"/>
    <w:rsid w:val="00B9750A"/>
    <w:rsid w:val="00B978C8"/>
    <w:rsid w:val="00BA0B75"/>
    <w:rsid w:val="00BA1CCA"/>
    <w:rsid w:val="00BA2E60"/>
    <w:rsid w:val="00BA2EBE"/>
    <w:rsid w:val="00BA380E"/>
    <w:rsid w:val="00BA4211"/>
    <w:rsid w:val="00BA4251"/>
    <w:rsid w:val="00BA486A"/>
    <w:rsid w:val="00BA4B65"/>
    <w:rsid w:val="00BA5EE3"/>
    <w:rsid w:val="00BA61CB"/>
    <w:rsid w:val="00BA6C05"/>
    <w:rsid w:val="00BB0F28"/>
    <w:rsid w:val="00BB126A"/>
    <w:rsid w:val="00BB1636"/>
    <w:rsid w:val="00BB1AE7"/>
    <w:rsid w:val="00BB1D74"/>
    <w:rsid w:val="00BB203B"/>
    <w:rsid w:val="00BB29F7"/>
    <w:rsid w:val="00BB3329"/>
    <w:rsid w:val="00BB3978"/>
    <w:rsid w:val="00BB4130"/>
    <w:rsid w:val="00BB43F3"/>
    <w:rsid w:val="00BB458A"/>
    <w:rsid w:val="00BB4F99"/>
    <w:rsid w:val="00BC002B"/>
    <w:rsid w:val="00BC0453"/>
    <w:rsid w:val="00BC0FC8"/>
    <w:rsid w:val="00BC2353"/>
    <w:rsid w:val="00BC31A2"/>
    <w:rsid w:val="00BC3395"/>
    <w:rsid w:val="00BC3AD0"/>
    <w:rsid w:val="00BC6806"/>
    <w:rsid w:val="00BC7EBF"/>
    <w:rsid w:val="00BD00D3"/>
    <w:rsid w:val="00BD0F75"/>
    <w:rsid w:val="00BD1659"/>
    <w:rsid w:val="00BD2F52"/>
    <w:rsid w:val="00BD3108"/>
    <w:rsid w:val="00BD32D2"/>
    <w:rsid w:val="00BD3AA9"/>
    <w:rsid w:val="00BD42E6"/>
    <w:rsid w:val="00BD4A18"/>
    <w:rsid w:val="00BD4D10"/>
    <w:rsid w:val="00BD57BE"/>
    <w:rsid w:val="00BD5BF5"/>
    <w:rsid w:val="00BD6DB2"/>
    <w:rsid w:val="00BE0E98"/>
    <w:rsid w:val="00BE11CF"/>
    <w:rsid w:val="00BE17D1"/>
    <w:rsid w:val="00BE21AB"/>
    <w:rsid w:val="00BE2728"/>
    <w:rsid w:val="00BE31D3"/>
    <w:rsid w:val="00BE44CE"/>
    <w:rsid w:val="00BE4E3B"/>
    <w:rsid w:val="00BE55CB"/>
    <w:rsid w:val="00BE59E5"/>
    <w:rsid w:val="00BE6EB3"/>
    <w:rsid w:val="00BE74ED"/>
    <w:rsid w:val="00BF045B"/>
    <w:rsid w:val="00BF0878"/>
    <w:rsid w:val="00BF112D"/>
    <w:rsid w:val="00BF14B0"/>
    <w:rsid w:val="00BF2EBE"/>
    <w:rsid w:val="00BF3944"/>
    <w:rsid w:val="00BF4D40"/>
    <w:rsid w:val="00BF5754"/>
    <w:rsid w:val="00BF617A"/>
    <w:rsid w:val="00BF6188"/>
    <w:rsid w:val="00BF6AF7"/>
    <w:rsid w:val="00BF6FCE"/>
    <w:rsid w:val="00BF79CD"/>
    <w:rsid w:val="00C00801"/>
    <w:rsid w:val="00C01322"/>
    <w:rsid w:val="00C01E6D"/>
    <w:rsid w:val="00C027D1"/>
    <w:rsid w:val="00C0379D"/>
    <w:rsid w:val="00C03931"/>
    <w:rsid w:val="00C03AE6"/>
    <w:rsid w:val="00C04D4B"/>
    <w:rsid w:val="00C04E83"/>
    <w:rsid w:val="00C0578B"/>
    <w:rsid w:val="00C05FE3"/>
    <w:rsid w:val="00C1032C"/>
    <w:rsid w:val="00C10644"/>
    <w:rsid w:val="00C10C28"/>
    <w:rsid w:val="00C114F5"/>
    <w:rsid w:val="00C13E47"/>
    <w:rsid w:val="00C148FD"/>
    <w:rsid w:val="00C15881"/>
    <w:rsid w:val="00C16DC5"/>
    <w:rsid w:val="00C17AB9"/>
    <w:rsid w:val="00C17F05"/>
    <w:rsid w:val="00C20076"/>
    <w:rsid w:val="00C20C62"/>
    <w:rsid w:val="00C2136D"/>
    <w:rsid w:val="00C214EE"/>
    <w:rsid w:val="00C21A87"/>
    <w:rsid w:val="00C2236D"/>
    <w:rsid w:val="00C2314B"/>
    <w:rsid w:val="00C23B5D"/>
    <w:rsid w:val="00C24971"/>
    <w:rsid w:val="00C2529E"/>
    <w:rsid w:val="00C2538B"/>
    <w:rsid w:val="00C26933"/>
    <w:rsid w:val="00C26BE5"/>
    <w:rsid w:val="00C26C84"/>
    <w:rsid w:val="00C26DFD"/>
    <w:rsid w:val="00C26E4D"/>
    <w:rsid w:val="00C27909"/>
    <w:rsid w:val="00C27AD9"/>
    <w:rsid w:val="00C27B03"/>
    <w:rsid w:val="00C27D45"/>
    <w:rsid w:val="00C303B8"/>
    <w:rsid w:val="00C30619"/>
    <w:rsid w:val="00C314E1"/>
    <w:rsid w:val="00C31DFA"/>
    <w:rsid w:val="00C32777"/>
    <w:rsid w:val="00C33758"/>
    <w:rsid w:val="00C34397"/>
    <w:rsid w:val="00C36F18"/>
    <w:rsid w:val="00C3788B"/>
    <w:rsid w:val="00C4095D"/>
    <w:rsid w:val="00C4138F"/>
    <w:rsid w:val="00C428B9"/>
    <w:rsid w:val="00C439FF"/>
    <w:rsid w:val="00C44116"/>
    <w:rsid w:val="00C46169"/>
    <w:rsid w:val="00C475F5"/>
    <w:rsid w:val="00C4774F"/>
    <w:rsid w:val="00C5082F"/>
    <w:rsid w:val="00C50B48"/>
    <w:rsid w:val="00C5167E"/>
    <w:rsid w:val="00C520DD"/>
    <w:rsid w:val="00C524EE"/>
    <w:rsid w:val="00C5279F"/>
    <w:rsid w:val="00C53ED6"/>
    <w:rsid w:val="00C546A3"/>
    <w:rsid w:val="00C566C9"/>
    <w:rsid w:val="00C56AE4"/>
    <w:rsid w:val="00C56BC9"/>
    <w:rsid w:val="00C57C5C"/>
    <w:rsid w:val="00C57C85"/>
    <w:rsid w:val="00C601D2"/>
    <w:rsid w:val="00C60406"/>
    <w:rsid w:val="00C610AF"/>
    <w:rsid w:val="00C61C8C"/>
    <w:rsid w:val="00C629D8"/>
    <w:rsid w:val="00C63F3F"/>
    <w:rsid w:val="00C63FE7"/>
    <w:rsid w:val="00C65AC0"/>
    <w:rsid w:val="00C65BCC"/>
    <w:rsid w:val="00C65FCE"/>
    <w:rsid w:val="00C661CB"/>
    <w:rsid w:val="00C66265"/>
    <w:rsid w:val="00C668F5"/>
    <w:rsid w:val="00C66970"/>
    <w:rsid w:val="00C66BD9"/>
    <w:rsid w:val="00C70E4A"/>
    <w:rsid w:val="00C7141A"/>
    <w:rsid w:val="00C71BDC"/>
    <w:rsid w:val="00C71C18"/>
    <w:rsid w:val="00C7234E"/>
    <w:rsid w:val="00C72578"/>
    <w:rsid w:val="00C72B80"/>
    <w:rsid w:val="00C732B7"/>
    <w:rsid w:val="00C76617"/>
    <w:rsid w:val="00C76818"/>
    <w:rsid w:val="00C8009F"/>
    <w:rsid w:val="00C80BC4"/>
    <w:rsid w:val="00C80FA5"/>
    <w:rsid w:val="00C81EEF"/>
    <w:rsid w:val="00C8282B"/>
    <w:rsid w:val="00C82B60"/>
    <w:rsid w:val="00C85F20"/>
    <w:rsid w:val="00C86410"/>
    <w:rsid w:val="00C8691C"/>
    <w:rsid w:val="00C86C68"/>
    <w:rsid w:val="00C8751C"/>
    <w:rsid w:val="00C87A83"/>
    <w:rsid w:val="00C92DB5"/>
    <w:rsid w:val="00C93BE6"/>
    <w:rsid w:val="00C94887"/>
    <w:rsid w:val="00C94E5F"/>
    <w:rsid w:val="00C95947"/>
    <w:rsid w:val="00C965A5"/>
    <w:rsid w:val="00C968F6"/>
    <w:rsid w:val="00CA04F9"/>
    <w:rsid w:val="00CA168A"/>
    <w:rsid w:val="00CA210B"/>
    <w:rsid w:val="00CA276B"/>
    <w:rsid w:val="00CA2A2E"/>
    <w:rsid w:val="00CA2A93"/>
    <w:rsid w:val="00CA357E"/>
    <w:rsid w:val="00CA36B5"/>
    <w:rsid w:val="00CA44F9"/>
    <w:rsid w:val="00CA462A"/>
    <w:rsid w:val="00CA483D"/>
    <w:rsid w:val="00CA48A4"/>
    <w:rsid w:val="00CA4A69"/>
    <w:rsid w:val="00CA50C2"/>
    <w:rsid w:val="00CA5735"/>
    <w:rsid w:val="00CA78CF"/>
    <w:rsid w:val="00CB2138"/>
    <w:rsid w:val="00CB2D00"/>
    <w:rsid w:val="00CB38F0"/>
    <w:rsid w:val="00CB5BFA"/>
    <w:rsid w:val="00CB67F3"/>
    <w:rsid w:val="00CB6CBF"/>
    <w:rsid w:val="00CB7216"/>
    <w:rsid w:val="00CC092D"/>
    <w:rsid w:val="00CC12EF"/>
    <w:rsid w:val="00CC1809"/>
    <w:rsid w:val="00CC2523"/>
    <w:rsid w:val="00CC38F8"/>
    <w:rsid w:val="00CC3E0C"/>
    <w:rsid w:val="00CC480F"/>
    <w:rsid w:val="00CC51A0"/>
    <w:rsid w:val="00CC58D3"/>
    <w:rsid w:val="00CC6A4E"/>
    <w:rsid w:val="00CC7087"/>
    <w:rsid w:val="00CC72FF"/>
    <w:rsid w:val="00CC784D"/>
    <w:rsid w:val="00CC7A88"/>
    <w:rsid w:val="00CD004A"/>
    <w:rsid w:val="00CD0639"/>
    <w:rsid w:val="00CD1AE7"/>
    <w:rsid w:val="00CD227D"/>
    <w:rsid w:val="00CD2381"/>
    <w:rsid w:val="00CD35AE"/>
    <w:rsid w:val="00CD3E2E"/>
    <w:rsid w:val="00CD430A"/>
    <w:rsid w:val="00CD7CE5"/>
    <w:rsid w:val="00CE1FF6"/>
    <w:rsid w:val="00CE34A3"/>
    <w:rsid w:val="00CE34B0"/>
    <w:rsid w:val="00CE3601"/>
    <w:rsid w:val="00CE4DC2"/>
    <w:rsid w:val="00CE58A4"/>
    <w:rsid w:val="00CE709B"/>
    <w:rsid w:val="00CE7BDB"/>
    <w:rsid w:val="00CE7D5B"/>
    <w:rsid w:val="00CF03F4"/>
    <w:rsid w:val="00CF0EAB"/>
    <w:rsid w:val="00CF1123"/>
    <w:rsid w:val="00CF3963"/>
    <w:rsid w:val="00CF3C56"/>
    <w:rsid w:val="00CF6F36"/>
    <w:rsid w:val="00D02E09"/>
    <w:rsid w:val="00D0337B"/>
    <w:rsid w:val="00D04334"/>
    <w:rsid w:val="00D0435F"/>
    <w:rsid w:val="00D04FAC"/>
    <w:rsid w:val="00D05F0D"/>
    <w:rsid w:val="00D0695D"/>
    <w:rsid w:val="00D0722C"/>
    <w:rsid w:val="00D079B2"/>
    <w:rsid w:val="00D10A9D"/>
    <w:rsid w:val="00D114E9"/>
    <w:rsid w:val="00D12E54"/>
    <w:rsid w:val="00D13AE7"/>
    <w:rsid w:val="00D15557"/>
    <w:rsid w:val="00D1557F"/>
    <w:rsid w:val="00D15633"/>
    <w:rsid w:val="00D15F14"/>
    <w:rsid w:val="00D16D41"/>
    <w:rsid w:val="00D17E9C"/>
    <w:rsid w:val="00D200EB"/>
    <w:rsid w:val="00D2039B"/>
    <w:rsid w:val="00D20A62"/>
    <w:rsid w:val="00D230A9"/>
    <w:rsid w:val="00D23B07"/>
    <w:rsid w:val="00D24CA6"/>
    <w:rsid w:val="00D2531D"/>
    <w:rsid w:val="00D2612F"/>
    <w:rsid w:val="00D267A3"/>
    <w:rsid w:val="00D31326"/>
    <w:rsid w:val="00D33396"/>
    <w:rsid w:val="00D33C1D"/>
    <w:rsid w:val="00D33C4B"/>
    <w:rsid w:val="00D343AF"/>
    <w:rsid w:val="00D34A33"/>
    <w:rsid w:val="00D350F9"/>
    <w:rsid w:val="00D353BB"/>
    <w:rsid w:val="00D37DA8"/>
    <w:rsid w:val="00D41769"/>
    <w:rsid w:val="00D4211E"/>
    <w:rsid w:val="00D429C6"/>
    <w:rsid w:val="00D45BB8"/>
    <w:rsid w:val="00D460FE"/>
    <w:rsid w:val="00D46246"/>
    <w:rsid w:val="00D47748"/>
    <w:rsid w:val="00D477E6"/>
    <w:rsid w:val="00D47CEC"/>
    <w:rsid w:val="00D5004C"/>
    <w:rsid w:val="00D5028A"/>
    <w:rsid w:val="00D50471"/>
    <w:rsid w:val="00D51892"/>
    <w:rsid w:val="00D52779"/>
    <w:rsid w:val="00D52FD8"/>
    <w:rsid w:val="00D5319D"/>
    <w:rsid w:val="00D534FE"/>
    <w:rsid w:val="00D54390"/>
    <w:rsid w:val="00D54B8A"/>
    <w:rsid w:val="00D54CC3"/>
    <w:rsid w:val="00D57696"/>
    <w:rsid w:val="00D57CAE"/>
    <w:rsid w:val="00D60187"/>
    <w:rsid w:val="00D602E0"/>
    <w:rsid w:val="00D6041A"/>
    <w:rsid w:val="00D60932"/>
    <w:rsid w:val="00D6195F"/>
    <w:rsid w:val="00D627D5"/>
    <w:rsid w:val="00D633EB"/>
    <w:rsid w:val="00D65343"/>
    <w:rsid w:val="00D65437"/>
    <w:rsid w:val="00D65C78"/>
    <w:rsid w:val="00D65E87"/>
    <w:rsid w:val="00D674E5"/>
    <w:rsid w:val="00D70A64"/>
    <w:rsid w:val="00D7213D"/>
    <w:rsid w:val="00D7292C"/>
    <w:rsid w:val="00D74FE5"/>
    <w:rsid w:val="00D764D7"/>
    <w:rsid w:val="00D801E2"/>
    <w:rsid w:val="00D8098F"/>
    <w:rsid w:val="00D810FD"/>
    <w:rsid w:val="00D81855"/>
    <w:rsid w:val="00D82FF7"/>
    <w:rsid w:val="00D847FE"/>
    <w:rsid w:val="00D8545B"/>
    <w:rsid w:val="00D85CEF"/>
    <w:rsid w:val="00D86F21"/>
    <w:rsid w:val="00D87322"/>
    <w:rsid w:val="00D91ADC"/>
    <w:rsid w:val="00D91D6D"/>
    <w:rsid w:val="00D92431"/>
    <w:rsid w:val="00D928A9"/>
    <w:rsid w:val="00D931DC"/>
    <w:rsid w:val="00D939D6"/>
    <w:rsid w:val="00D93D16"/>
    <w:rsid w:val="00D93E4C"/>
    <w:rsid w:val="00D953EA"/>
    <w:rsid w:val="00D96198"/>
    <w:rsid w:val="00D96260"/>
    <w:rsid w:val="00D964EA"/>
    <w:rsid w:val="00D965D8"/>
    <w:rsid w:val="00D966D0"/>
    <w:rsid w:val="00D972D4"/>
    <w:rsid w:val="00D979E6"/>
    <w:rsid w:val="00DA017A"/>
    <w:rsid w:val="00DA0C59"/>
    <w:rsid w:val="00DA1F87"/>
    <w:rsid w:val="00DA2112"/>
    <w:rsid w:val="00DA25EA"/>
    <w:rsid w:val="00DA2716"/>
    <w:rsid w:val="00DA3991"/>
    <w:rsid w:val="00DA3F8B"/>
    <w:rsid w:val="00DA4953"/>
    <w:rsid w:val="00DA4C8F"/>
    <w:rsid w:val="00DA7B4D"/>
    <w:rsid w:val="00DB050C"/>
    <w:rsid w:val="00DB0990"/>
    <w:rsid w:val="00DB1323"/>
    <w:rsid w:val="00DB2E7F"/>
    <w:rsid w:val="00DB3FDA"/>
    <w:rsid w:val="00DB4C69"/>
    <w:rsid w:val="00DB5B51"/>
    <w:rsid w:val="00DB61A4"/>
    <w:rsid w:val="00DB7E6C"/>
    <w:rsid w:val="00DC0E0C"/>
    <w:rsid w:val="00DC1E38"/>
    <w:rsid w:val="00DC3126"/>
    <w:rsid w:val="00DC4B25"/>
    <w:rsid w:val="00DC5743"/>
    <w:rsid w:val="00DC66AA"/>
    <w:rsid w:val="00DC6D0D"/>
    <w:rsid w:val="00DD05CF"/>
    <w:rsid w:val="00DD090A"/>
    <w:rsid w:val="00DD3718"/>
    <w:rsid w:val="00DD5394"/>
    <w:rsid w:val="00DD5A29"/>
    <w:rsid w:val="00DD5D9D"/>
    <w:rsid w:val="00DD5EFA"/>
    <w:rsid w:val="00DD5FFC"/>
    <w:rsid w:val="00DD60A6"/>
    <w:rsid w:val="00DD78E9"/>
    <w:rsid w:val="00DD7A2A"/>
    <w:rsid w:val="00DD7A7B"/>
    <w:rsid w:val="00DE0165"/>
    <w:rsid w:val="00DE1926"/>
    <w:rsid w:val="00DE24D4"/>
    <w:rsid w:val="00DE2CC8"/>
    <w:rsid w:val="00DE32AA"/>
    <w:rsid w:val="00DE35CB"/>
    <w:rsid w:val="00DE3A2A"/>
    <w:rsid w:val="00DE4444"/>
    <w:rsid w:val="00DE4977"/>
    <w:rsid w:val="00DE6260"/>
    <w:rsid w:val="00DE7A8E"/>
    <w:rsid w:val="00DF00FA"/>
    <w:rsid w:val="00DF03B1"/>
    <w:rsid w:val="00DF123A"/>
    <w:rsid w:val="00DF21E9"/>
    <w:rsid w:val="00DF26CC"/>
    <w:rsid w:val="00DF2F08"/>
    <w:rsid w:val="00DF42DC"/>
    <w:rsid w:val="00DF4779"/>
    <w:rsid w:val="00DF5393"/>
    <w:rsid w:val="00DF6263"/>
    <w:rsid w:val="00DF64D9"/>
    <w:rsid w:val="00DF75DB"/>
    <w:rsid w:val="00DF783B"/>
    <w:rsid w:val="00DF7869"/>
    <w:rsid w:val="00DF7A9E"/>
    <w:rsid w:val="00E002DA"/>
    <w:rsid w:val="00E00BCE"/>
    <w:rsid w:val="00E00BF2"/>
    <w:rsid w:val="00E00F14"/>
    <w:rsid w:val="00E03D17"/>
    <w:rsid w:val="00E04D52"/>
    <w:rsid w:val="00E04FF9"/>
    <w:rsid w:val="00E053EE"/>
    <w:rsid w:val="00E06386"/>
    <w:rsid w:val="00E06492"/>
    <w:rsid w:val="00E072B1"/>
    <w:rsid w:val="00E072FD"/>
    <w:rsid w:val="00E10322"/>
    <w:rsid w:val="00E10612"/>
    <w:rsid w:val="00E10C2C"/>
    <w:rsid w:val="00E11AA7"/>
    <w:rsid w:val="00E1225C"/>
    <w:rsid w:val="00E14CAF"/>
    <w:rsid w:val="00E14D5F"/>
    <w:rsid w:val="00E14DB5"/>
    <w:rsid w:val="00E14E03"/>
    <w:rsid w:val="00E1548C"/>
    <w:rsid w:val="00E157D3"/>
    <w:rsid w:val="00E17E8B"/>
    <w:rsid w:val="00E20097"/>
    <w:rsid w:val="00E22856"/>
    <w:rsid w:val="00E22A7E"/>
    <w:rsid w:val="00E22F15"/>
    <w:rsid w:val="00E23CFA"/>
    <w:rsid w:val="00E24EB4"/>
    <w:rsid w:val="00E253A5"/>
    <w:rsid w:val="00E25926"/>
    <w:rsid w:val="00E25A12"/>
    <w:rsid w:val="00E25DA6"/>
    <w:rsid w:val="00E27B7A"/>
    <w:rsid w:val="00E30B38"/>
    <w:rsid w:val="00E30EBA"/>
    <w:rsid w:val="00E320ED"/>
    <w:rsid w:val="00E32BE7"/>
    <w:rsid w:val="00E33AFB"/>
    <w:rsid w:val="00E33D79"/>
    <w:rsid w:val="00E34218"/>
    <w:rsid w:val="00E36403"/>
    <w:rsid w:val="00E40307"/>
    <w:rsid w:val="00E41F4A"/>
    <w:rsid w:val="00E423CF"/>
    <w:rsid w:val="00E43161"/>
    <w:rsid w:val="00E437C5"/>
    <w:rsid w:val="00E44F01"/>
    <w:rsid w:val="00E454C4"/>
    <w:rsid w:val="00E45C25"/>
    <w:rsid w:val="00E460F4"/>
    <w:rsid w:val="00E46282"/>
    <w:rsid w:val="00E500BB"/>
    <w:rsid w:val="00E5172E"/>
    <w:rsid w:val="00E51E72"/>
    <w:rsid w:val="00E5216E"/>
    <w:rsid w:val="00E52D64"/>
    <w:rsid w:val="00E53845"/>
    <w:rsid w:val="00E54B56"/>
    <w:rsid w:val="00E569EA"/>
    <w:rsid w:val="00E571A3"/>
    <w:rsid w:val="00E57D49"/>
    <w:rsid w:val="00E611AA"/>
    <w:rsid w:val="00E611BA"/>
    <w:rsid w:val="00E6174F"/>
    <w:rsid w:val="00E61D3E"/>
    <w:rsid w:val="00E62C93"/>
    <w:rsid w:val="00E62F79"/>
    <w:rsid w:val="00E63662"/>
    <w:rsid w:val="00E64259"/>
    <w:rsid w:val="00E64AB9"/>
    <w:rsid w:val="00E64B6F"/>
    <w:rsid w:val="00E65A19"/>
    <w:rsid w:val="00E65EEE"/>
    <w:rsid w:val="00E65FB3"/>
    <w:rsid w:val="00E6733F"/>
    <w:rsid w:val="00E6789B"/>
    <w:rsid w:val="00E7025A"/>
    <w:rsid w:val="00E72F84"/>
    <w:rsid w:val="00E7323C"/>
    <w:rsid w:val="00E734F5"/>
    <w:rsid w:val="00E73823"/>
    <w:rsid w:val="00E73FBF"/>
    <w:rsid w:val="00E74C4B"/>
    <w:rsid w:val="00E7586B"/>
    <w:rsid w:val="00E76870"/>
    <w:rsid w:val="00E77DD2"/>
    <w:rsid w:val="00E801A3"/>
    <w:rsid w:val="00E8078C"/>
    <w:rsid w:val="00E80A9D"/>
    <w:rsid w:val="00E81DA8"/>
    <w:rsid w:val="00E81DDA"/>
    <w:rsid w:val="00E82344"/>
    <w:rsid w:val="00E83302"/>
    <w:rsid w:val="00E8342E"/>
    <w:rsid w:val="00E835BF"/>
    <w:rsid w:val="00E840B1"/>
    <w:rsid w:val="00E84102"/>
    <w:rsid w:val="00E849CD"/>
    <w:rsid w:val="00E84C82"/>
    <w:rsid w:val="00E84D64"/>
    <w:rsid w:val="00E87408"/>
    <w:rsid w:val="00E90668"/>
    <w:rsid w:val="00E9083E"/>
    <w:rsid w:val="00E90CFD"/>
    <w:rsid w:val="00E90E2C"/>
    <w:rsid w:val="00E914C4"/>
    <w:rsid w:val="00E91BB1"/>
    <w:rsid w:val="00E92B03"/>
    <w:rsid w:val="00E92DE9"/>
    <w:rsid w:val="00E934F5"/>
    <w:rsid w:val="00E945D4"/>
    <w:rsid w:val="00E94FDA"/>
    <w:rsid w:val="00E95741"/>
    <w:rsid w:val="00E96961"/>
    <w:rsid w:val="00E977D1"/>
    <w:rsid w:val="00E97C4F"/>
    <w:rsid w:val="00EA03EA"/>
    <w:rsid w:val="00EA0744"/>
    <w:rsid w:val="00EA0F2D"/>
    <w:rsid w:val="00EA175A"/>
    <w:rsid w:val="00EA40B9"/>
    <w:rsid w:val="00EA5251"/>
    <w:rsid w:val="00EA72EC"/>
    <w:rsid w:val="00EA7365"/>
    <w:rsid w:val="00EB11CB"/>
    <w:rsid w:val="00EB275A"/>
    <w:rsid w:val="00EB2E8D"/>
    <w:rsid w:val="00EB2F52"/>
    <w:rsid w:val="00EB3759"/>
    <w:rsid w:val="00EB3B81"/>
    <w:rsid w:val="00EB407D"/>
    <w:rsid w:val="00EB6FF4"/>
    <w:rsid w:val="00EB7559"/>
    <w:rsid w:val="00EB786A"/>
    <w:rsid w:val="00EC131A"/>
    <w:rsid w:val="00EC1578"/>
    <w:rsid w:val="00EC1C72"/>
    <w:rsid w:val="00EC2057"/>
    <w:rsid w:val="00EC2209"/>
    <w:rsid w:val="00EC2835"/>
    <w:rsid w:val="00EC2AE2"/>
    <w:rsid w:val="00EC3CC9"/>
    <w:rsid w:val="00EC4BBC"/>
    <w:rsid w:val="00EC4F4D"/>
    <w:rsid w:val="00EC54A2"/>
    <w:rsid w:val="00EC66D9"/>
    <w:rsid w:val="00EC680A"/>
    <w:rsid w:val="00EC70B7"/>
    <w:rsid w:val="00ED0A35"/>
    <w:rsid w:val="00ED13FE"/>
    <w:rsid w:val="00ED1CF7"/>
    <w:rsid w:val="00ED32C0"/>
    <w:rsid w:val="00ED42B8"/>
    <w:rsid w:val="00ED57BC"/>
    <w:rsid w:val="00ED59C4"/>
    <w:rsid w:val="00ED5A78"/>
    <w:rsid w:val="00ED63F2"/>
    <w:rsid w:val="00ED6E2D"/>
    <w:rsid w:val="00ED70B9"/>
    <w:rsid w:val="00ED710F"/>
    <w:rsid w:val="00ED7FDB"/>
    <w:rsid w:val="00EE02DE"/>
    <w:rsid w:val="00EE04DB"/>
    <w:rsid w:val="00EE1A4C"/>
    <w:rsid w:val="00EE26D9"/>
    <w:rsid w:val="00EE2BED"/>
    <w:rsid w:val="00EE374B"/>
    <w:rsid w:val="00EE4099"/>
    <w:rsid w:val="00EE4D7D"/>
    <w:rsid w:val="00EE5A4D"/>
    <w:rsid w:val="00EE5D23"/>
    <w:rsid w:val="00EE6CE5"/>
    <w:rsid w:val="00EE78E4"/>
    <w:rsid w:val="00EE7D1F"/>
    <w:rsid w:val="00EF0A51"/>
    <w:rsid w:val="00EF11D6"/>
    <w:rsid w:val="00EF2860"/>
    <w:rsid w:val="00EF3677"/>
    <w:rsid w:val="00EF47F8"/>
    <w:rsid w:val="00EF5C8B"/>
    <w:rsid w:val="00F001E5"/>
    <w:rsid w:val="00F0104D"/>
    <w:rsid w:val="00F01F7A"/>
    <w:rsid w:val="00F0276D"/>
    <w:rsid w:val="00F035C1"/>
    <w:rsid w:val="00F04326"/>
    <w:rsid w:val="00F04EDD"/>
    <w:rsid w:val="00F0532C"/>
    <w:rsid w:val="00F05898"/>
    <w:rsid w:val="00F0773B"/>
    <w:rsid w:val="00F10E08"/>
    <w:rsid w:val="00F11BB5"/>
    <w:rsid w:val="00F12757"/>
    <w:rsid w:val="00F135CA"/>
    <w:rsid w:val="00F1417B"/>
    <w:rsid w:val="00F151B5"/>
    <w:rsid w:val="00F169BA"/>
    <w:rsid w:val="00F171CC"/>
    <w:rsid w:val="00F17A21"/>
    <w:rsid w:val="00F2092C"/>
    <w:rsid w:val="00F20E04"/>
    <w:rsid w:val="00F2137E"/>
    <w:rsid w:val="00F218FC"/>
    <w:rsid w:val="00F2278A"/>
    <w:rsid w:val="00F23884"/>
    <w:rsid w:val="00F24835"/>
    <w:rsid w:val="00F24896"/>
    <w:rsid w:val="00F260A2"/>
    <w:rsid w:val="00F2614C"/>
    <w:rsid w:val="00F266F8"/>
    <w:rsid w:val="00F26859"/>
    <w:rsid w:val="00F26E65"/>
    <w:rsid w:val="00F30860"/>
    <w:rsid w:val="00F32F1C"/>
    <w:rsid w:val="00F34575"/>
    <w:rsid w:val="00F347B8"/>
    <w:rsid w:val="00F34B99"/>
    <w:rsid w:val="00F35303"/>
    <w:rsid w:val="00F3599A"/>
    <w:rsid w:val="00F40CC8"/>
    <w:rsid w:val="00F40FBA"/>
    <w:rsid w:val="00F41625"/>
    <w:rsid w:val="00F41AA2"/>
    <w:rsid w:val="00F425A6"/>
    <w:rsid w:val="00F42D16"/>
    <w:rsid w:val="00F42E53"/>
    <w:rsid w:val="00F44C24"/>
    <w:rsid w:val="00F4531A"/>
    <w:rsid w:val="00F46E37"/>
    <w:rsid w:val="00F50965"/>
    <w:rsid w:val="00F50F62"/>
    <w:rsid w:val="00F52C98"/>
    <w:rsid w:val="00F52DAB"/>
    <w:rsid w:val="00F5338C"/>
    <w:rsid w:val="00F543F0"/>
    <w:rsid w:val="00F56EF0"/>
    <w:rsid w:val="00F60159"/>
    <w:rsid w:val="00F611FB"/>
    <w:rsid w:val="00F61A89"/>
    <w:rsid w:val="00F623E3"/>
    <w:rsid w:val="00F62438"/>
    <w:rsid w:val="00F634CF"/>
    <w:rsid w:val="00F6636D"/>
    <w:rsid w:val="00F66A87"/>
    <w:rsid w:val="00F70027"/>
    <w:rsid w:val="00F7054D"/>
    <w:rsid w:val="00F70D7E"/>
    <w:rsid w:val="00F7209C"/>
    <w:rsid w:val="00F7228A"/>
    <w:rsid w:val="00F72F9B"/>
    <w:rsid w:val="00F7371F"/>
    <w:rsid w:val="00F73837"/>
    <w:rsid w:val="00F73E72"/>
    <w:rsid w:val="00F73F83"/>
    <w:rsid w:val="00F75950"/>
    <w:rsid w:val="00F75A12"/>
    <w:rsid w:val="00F77C7F"/>
    <w:rsid w:val="00F80074"/>
    <w:rsid w:val="00F800CE"/>
    <w:rsid w:val="00F80B1E"/>
    <w:rsid w:val="00F819A3"/>
    <w:rsid w:val="00F81A3A"/>
    <w:rsid w:val="00F81D29"/>
    <w:rsid w:val="00F8456D"/>
    <w:rsid w:val="00F84B29"/>
    <w:rsid w:val="00F84D4C"/>
    <w:rsid w:val="00F85827"/>
    <w:rsid w:val="00F91C4D"/>
    <w:rsid w:val="00F92FD9"/>
    <w:rsid w:val="00F9476F"/>
    <w:rsid w:val="00F949AF"/>
    <w:rsid w:val="00F95136"/>
    <w:rsid w:val="00F95D9A"/>
    <w:rsid w:val="00F975FB"/>
    <w:rsid w:val="00FA0110"/>
    <w:rsid w:val="00FA083A"/>
    <w:rsid w:val="00FA08A1"/>
    <w:rsid w:val="00FA0A8E"/>
    <w:rsid w:val="00FA0D83"/>
    <w:rsid w:val="00FA1ADA"/>
    <w:rsid w:val="00FA1B05"/>
    <w:rsid w:val="00FA214F"/>
    <w:rsid w:val="00FA215B"/>
    <w:rsid w:val="00FA249D"/>
    <w:rsid w:val="00FA3188"/>
    <w:rsid w:val="00FA3E2E"/>
    <w:rsid w:val="00FA443B"/>
    <w:rsid w:val="00FA460E"/>
    <w:rsid w:val="00FA58AF"/>
    <w:rsid w:val="00FA6082"/>
    <w:rsid w:val="00FA611F"/>
    <w:rsid w:val="00FA6684"/>
    <w:rsid w:val="00FA6DFD"/>
    <w:rsid w:val="00FA731E"/>
    <w:rsid w:val="00FB085C"/>
    <w:rsid w:val="00FB0D6A"/>
    <w:rsid w:val="00FB2640"/>
    <w:rsid w:val="00FB2B38"/>
    <w:rsid w:val="00FB6CF0"/>
    <w:rsid w:val="00FB7844"/>
    <w:rsid w:val="00FC024F"/>
    <w:rsid w:val="00FC2154"/>
    <w:rsid w:val="00FC39AA"/>
    <w:rsid w:val="00FC41F4"/>
    <w:rsid w:val="00FC487F"/>
    <w:rsid w:val="00FC4EF4"/>
    <w:rsid w:val="00FC4FAF"/>
    <w:rsid w:val="00FC5021"/>
    <w:rsid w:val="00FC6358"/>
    <w:rsid w:val="00FC6A1C"/>
    <w:rsid w:val="00FD01CF"/>
    <w:rsid w:val="00FD0CFA"/>
    <w:rsid w:val="00FD128D"/>
    <w:rsid w:val="00FD2E0D"/>
    <w:rsid w:val="00FD320D"/>
    <w:rsid w:val="00FD38ED"/>
    <w:rsid w:val="00FD4610"/>
    <w:rsid w:val="00FD6FE1"/>
    <w:rsid w:val="00FE0783"/>
    <w:rsid w:val="00FE1DB7"/>
    <w:rsid w:val="00FE1F2F"/>
    <w:rsid w:val="00FE23DE"/>
    <w:rsid w:val="00FE2BA4"/>
    <w:rsid w:val="00FE3FFC"/>
    <w:rsid w:val="00FE6EDF"/>
    <w:rsid w:val="00FF0AC1"/>
    <w:rsid w:val="00FF1070"/>
    <w:rsid w:val="00FF1535"/>
    <w:rsid w:val="00FF42E6"/>
    <w:rsid w:val="00FF43F9"/>
    <w:rsid w:val="00FF4D5F"/>
    <w:rsid w:val="00FF4FA1"/>
    <w:rsid w:val="00FF63AA"/>
    <w:rsid w:val="00FF6718"/>
    <w:rsid w:val="00FF7C23"/>
    <w:rsid w:val="01C310D9"/>
    <w:rsid w:val="02E84657"/>
    <w:rsid w:val="04DF6C8C"/>
    <w:rsid w:val="050140F6"/>
    <w:rsid w:val="053C0307"/>
    <w:rsid w:val="05C375FE"/>
    <w:rsid w:val="05D76C05"/>
    <w:rsid w:val="06506FEC"/>
    <w:rsid w:val="0AAA55B3"/>
    <w:rsid w:val="0ACB31DC"/>
    <w:rsid w:val="0B025CD4"/>
    <w:rsid w:val="0BBC7BB2"/>
    <w:rsid w:val="0BF71DAF"/>
    <w:rsid w:val="0C1758DA"/>
    <w:rsid w:val="0CDC201E"/>
    <w:rsid w:val="10D751DD"/>
    <w:rsid w:val="11C653FD"/>
    <w:rsid w:val="141540C6"/>
    <w:rsid w:val="14D013EF"/>
    <w:rsid w:val="154961C1"/>
    <w:rsid w:val="156D449A"/>
    <w:rsid w:val="15A0411F"/>
    <w:rsid w:val="194D03CC"/>
    <w:rsid w:val="196A6842"/>
    <w:rsid w:val="1B8C7DFA"/>
    <w:rsid w:val="1D2736C3"/>
    <w:rsid w:val="1E8E20FF"/>
    <w:rsid w:val="1F465E2D"/>
    <w:rsid w:val="1FF74256"/>
    <w:rsid w:val="20F743AA"/>
    <w:rsid w:val="236B64C9"/>
    <w:rsid w:val="250D560D"/>
    <w:rsid w:val="269334AB"/>
    <w:rsid w:val="278A18D2"/>
    <w:rsid w:val="29051210"/>
    <w:rsid w:val="2AF41B4D"/>
    <w:rsid w:val="2BE759E0"/>
    <w:rsid w:val="2D140B8B"/>
    <w:rsid w:val="2D984D48"/>
    <w:rsid w:val="2DFDF403"/>
    <w:rsid w:val="2EF7784D"/>
    <w:rsid w:val="2F0722ED"/>
    <w:rsid w:val="30887083"/>
    <w:rsid w:val="308A649E"/>
    <w:rsid w:val="346C0B2C"/>
    <w:rsid w:val="351D6BDA"/>
    <w:rsid w:val="352754C6"/>
    <w:rsid w:val="364D41F6"/>
    <w:rsid w:val="376130C9"/>
    <w:rsid w:val="37C232FF"/>
    <w:rsid w:val="3950248D"/>
    <w:rsid w:val="39DB75FA"/>
    <w:rsid w:val="3A887EF3"/>
    <w:rsid w:val="3BAC6DE1"/>
    <w:rsid w:val="3CA65D5F"/>
    <w:rsid w:val="3F9701EB"/>
    <w:rsid w:val="3FFD1276"/>
    <w:rsid w:val="3FFD6C68"/>
    <w:rsid w:val="40362C79"/>
    <w:rsid w:val="40C15F0C"/>
    <w:rsid w:val="40CF6FE7"/>
    <w:rsid w:val="44A02BBF"/>
    <w:rsid w:val="44DD0E3B"/>
    <w:rsid w:val="44F17107"/>
    <w:rsid w:val="458978FD"/>
    <w:rsid w:val="47880625"/>
    <w:rsid w:val="47BE4CDD"/>
    <w:rsid w:val="4B1F1C72"/>
    <w:rsid w:val="4B8B69BD"/>
    <w:rsid w:val="4DF77B45"/>
    <w:rsid w:val="4E8376D0"/>
    <w:rsid w:val="4FB8172D"/>
    <w:rsid w:val="50D2381E"/>
    <w:rsid w:val="50EA49AE"/>
    <w:rsid w:val="520243C7"/>
    <w:rsid w:val="53400F13"/>
    <w:rsid w:val="53BD2959"/>
    <w:rsid w:val="55256902"/>
    <w:rsid w:val="568730A9"/>
    <w:rsid w:val="568C0FA1"/>
    <w:rsid w:val="57B79D32"/>
    <w:rsid w:val="58AB6E2E"/>
    <w:rsid w:val="5A88195A"/>
    <w:rsid w:val="5B0F4685"/>
    <w:rsid w:val="5D4B7B1C"/>
    <w:rsid w:val="5E0537CF"/>
    <w:rsid w:val="5E3801D1"/>
    <w:rsid w:val="5F724979"/>
    <w:rsid w:val="5FE665AB"/>
    <w:rsid w:val="64EA3F2D"/>
    <w:rsid w:val="6518584B"/>
    <w:rsid w:val="65BB3263"/>
    <w:rsid w:val="68651DD9"/>
    <w:rsid w:val="68981084"/>
    <w:rsid w:val="6A2F678A"/>
    <w:rsid w:val="6BFF4895"/>
    <w:rsid w:val="6C5D448C"/>
    <w:rsid w:val="6C6F7383"/>
    <w:rsid w:val="6E670B27"/>
    <w:rsid w:val="6E694933"/>
    <w:rsid w:val="70757FF6"/>
    <w:rsid w:val="70F730E8"/>
    <w:rsid w:val="71314E0F"/>
    <w:rsid w:val="717A56C5"/>
    <w:rsid w:val="76051E1C"/>
    <w:rsid w:val="760B6D06"/>
    <w:rsid w:val="76A84E99"/>
    <w:rsid w:val="79245376"/>
    <w:rsid w:val="79FF0F6F"/>
    <w:rsid w:val="7C5527E6"/>
    <w:rsid w:val="7D6706F2"/>
    <w:rsid w:val="7DA74FEC"/>
    <w:rsid w:val="7DB8500C"/>
    <w:rsid w:val="7DF662A9"/>
    <w:rsid w:val="7FBF5C85"/>
    <w:rsid w:val="7FEFE70D"/>
    <w:rsid w:val="8F2605EB"/>
    <w:rsid w:val="AF5C0595"/>
    <w:rsid w:val="BDBBC426"/>
    <w:rsid w:val="BEB5548F"/>
    <w:rsid w:val="BFFB871A"/>
    <w:rsid w:val="BFFF31BE"/>
    <w:rsid w:val="C9FBF5DA"/>
    <w:rsid w:val="CF3FAEC2"/>
    <w:rsid w:val="DDBD3EDC"/>
    <w:rsid w:val="DEDFE534"/>
    <w:rsid w:val="E97FC376"/>
    <w:rsid w:val="EF3500E2"/>
    <w:rsid w:val="EF8F9B68"/>
    <w:rsid w:val="EFDC459A"/>
    <w:rsid w:val="FB754730"/>
    <w:rsid w:val="FF777649"/>
    <w:rsid w:val="FF7EEF73"/>
    <w:rsid w:val="FFAFB18A"/>
    <w:rsid w:val="FFBFE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nhideWhenUsed="0" w:uiPriority="1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center"/>
    </w:pPr>
    <w:rPr>
      <w:rFonts w:ascii="宋体" w:hAnsi="宋体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57"/>
    <w:autoRedefine/>
    <w:qFormat/>
    <w:uiPriority w:val="1"/>
    <w:pPr>
      <w:keepNext/>
      <w:keepLines/>
      <w:widowControl/>
      <w:numPr>
        <w:ilvl w:val="0"/>
        <w:numId w:val="1"/>
      </w:numPr>
      <w:adjustRightInd w:val="0"/>
      <w:spacing w:before="312" w:beforeLines="100" w:after="156" w:afterLines="50"/>
      <w:outlineLvl w:val="0"/>
    </w:pPr>
    <w:rPr>
      <w:b/>
      <w:bCs/>
      <w:sz w:val="32"/>
      <w:szCs w:val="28"/>
      <w:lang w:eastAsia="ja-JP"/>
    </w:rPr>
  </w:style>
  <w:style w:type="paragraph" w:styleId="4">
    <w:name w:val="heading 2"/>
    <w:basedOn w:val="1"/>
    <w:next w:val="1"/>
    <w:link w:val="58"/>
    <w:autoRedefine/>
    <w:qFormat/>
    <w:uiPriority w:val="1"/>
    <w:pPr>
      <w:keepNext/>
      <w:keepLines/>
      <w:widowControl/>
      <w:numPr>
        <w:ilvl w:val="1"/>
        <w:numId w:val="1"/>
      </w:numPr>
      <w:adjustRightInd w:val="0"/>
      <w:spacing w:before="240" w:after="120"/>
      <w:ind w:left="1138" w:hanging="1138"/>
      <w:outlineLvl w:val="1"/>
    </w:pPr>
    <w:rPr>
      <w:b/>
      <w:bCs/>
      <w:sz w:val="30"/>
      <w:szCs w:val="32"/>
    </w:rPr>
  </w:style>
  <w:style w:type="paragraph" w:styleId="5">
    <w:name w:val="heading 3"/>
    <w:basedOn w:val="1"/>
    <w:next w:val="1"/>
    <w:link w:val="59"/>
    <w:autoRedefine/>
    <w:qFormat/>
    <w:uiPriority w:val="1"/>
    <w:pPr>
      <w:keepNext/>
      <w:keepLines/>
      <w:widowControl/>
      <w:numPr>
        <w:ilvl w:val="2"/>
        <w:numId w:val="1"/>
      </w:numPr>
      <w:adjustRightInd w:val="0"/>
      <w:spacing w:before="240" w:after="120"/>
      <w:outlineLvl w:val="2"/>
    </w:pPr>
    <w:rPr>
      <w:b/>
      <w:bCs/>
      <w:sz w:val="28"/>
      <w:szCs w:val="32"/>
    </w:rPr>
  </w:style>
  <w:style w:type="paragraph" w:styleId="6">
    <w:name w:val="heading 4"/>
    <w:basedOn w:val="1"/>
    <w:next w:val="1"/>
    <w:link w:val="60"/>
    <w:autoRedefine/>
    <w:qFormat/>
    <w:uiPriority w:val="1"/>
    <w:pPr>
      <w:keepNext/>
      <w:keepLines/>
      <w:widowControl/>
      <w:numPr>
        <w:ilvl w:val="3"/>
        <w:numId w:val="1"/>
      </w:numPr>
      <w:spacing w:before="240" w:after="120"/>
      <w:ind w:left="200" w:hanging="200" w:hangingChars="200"/>
      <w:outlineLvl w:val="3"/>
    </w:pPr>
    <w:rPr>
      <w:b/>
      <w:bCs/>
      <w:sz w:val="26"/>
      <w:szCs w:val="28"/>
    </w:rPr>
  </w:style>
  <w:style w:type="paragraph" w:styleId="7">
    <w:name w:val="heading 5"/>
    <w:basedOn w:val="1"/>
    <w:next w:val="1"/>
    <w:link w:val="61"/>
    <w:autoRedefine/>
    <w:qFormat/>
    <w:uiPriority w:val="1"/>
    <w:pPr>
      <w:keepNext/>
      <w:keepLines/>
      <w:widowControl/>
      <w:numPr>
        <w:ilvl w:val="4"/>
        <w:numId w:val="1"/>
      </w:numPr>
      <w:spacing w:before="240" w:after="120"/>
      <w:outlineLvl w:val="4"/>
    </w:pPr>
    <w:rPr>
      <w:rFonts w:eastAsia="黑体"/>
      <w:b/>
      <w:bCs/>
      <w:sz w:val="24"/>
      <w:szCs w:val="28"/>
    </w:rPr>
  </w:style>
  <w:style w:type="paragraph" w:styleId="8">
    <w:name w:val="heading 6"/>
    <w:basedOn w:val="1"/>
    <w:next w:val="1"/>
    <w:link w:val="62"/>
    <w:autoRedefine/>
    <w:qFormat/>
    <w:uiPriority w:val="9"/>
    <w:pPr>
      <w:keepNext/>
      <w:keepLines/>
      <w:widowControl/>
      <w:numPr>
        <w:ilvl w:val="5"/>
        <w:numId w:val="1"/>
      </w:numPr>
      <w:spacing w:before="240" w:after="120"/>
      <w:outlineLvl w:val="5"/>
    </w:pPr>
    <w:rPr>
      <w:b/>
      <w:bCs/>
      <w:sz w:val="24"/>
      <w:szCs w:val="21"/>
    </w:rPr>
  </w:style>
  <w:style w:type="paragraph" w:styleId="9">
    <w:name w:val="heading 7"/>
    <w:basedOn w:val="1"/>
    <w:next w:val="1"/>
    <w:link w:val="63"/>
    <w:autoRedefine/>
    <w:qFormat/>
    <w:uiPriority w:val="9"/>
    <w:pPr>
      <w:keepNext/>
      <w:keepLines/>
      <w:widowControl/>
      <w:numPr>
        <w:ilvl w:val="6"/>
        <w:numId w:val="1"/>
      </w:numPr>
      <w:spacing w:before="240" w:after="120"/>
      <w:outlineLvl w:val="6"/>
    </w:pPr>
    <w:rPr>
      <w:rFonts w:eastAsia="黑体"/>
      <w:bCs/>
      <w:sz w:val="24"/>
      <w:szCs w:val="21"/>
    </w:rPr>
  </w:style>
  <w:style w:type="paragraph" w:styleId="10">
    <w:name w:val="heading 8"/>
    <w:basedOn w:val="1"/>
    <w:next w:val="1"/>
    <w:link w:val="64"/>
    <w:autoRedefine/>
    <w:qFormat/>
    <w:uiPriority w:val="9"/>
    <w:pPr>
      <w:keepNext/>
      <w:keepLines/>
      <w:widowControl/>
      <w:numPr>
        <w:ilvl w:val="7"/>
        <w:numId w:val="1"/>
      </w:numPr>
      <w:spacing w:before="240" w:after="120"/>
      <w:outlineLvl w:val="7"/>
    </w:pPr>
    <w:rPr>
      <w:sz w:val="24"/>
      <w:szCs w:val="21"/>
    </w:rPr>
  </w:style>
  <w:style w:type="paragraph" w:styleId="11">
    <w:name w:val="heading 9"/>
    <w:basedOn w:val="1"/>
    <w:next w:val="1"/>
    <w:link w:val="65"/>
    <w:autoRedefine/>
    <w:qFormat/>
    <w:uiPriority w:val="9"/>
    <w:pPr>
      <w:keepNext/>
      <w:keepLines/>
      <w:widowControl/>
      <w:numPr>
        <w:ilvl w:val="8"/>
        <w:numId w:val="1"/>
      </w:numPr>
      <w:spacing w:before="240" w:after="120"/>
      <w:outlineLvl w:val="8"/>
    </w:pPr>
    <w:rPr>
      <w:sz w:val="24"/>
      <w:szCs w:val="21"/>
    </w:r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420"/>
    </w:pPr>
    <w:rPr>
      <w:rFonts w:ascii="黑体" w:hAnsi="黑体" w:eastAsia="黑体"/>
      <w:kern w:val="0"/>
      <w:szCs w:val="20"/>
    </w:rPr>
  </w:style>
  <w:style w:type="paragraph" w:styleId="12">
    <w:name w:val="toc 7"/>
    <w:basedOn w:val="1"/>
    <w:next w:val="1"/>
    <w:autoRedefine/>
    <w:semiHidden/>
    <w:qFormat/>
    <w:uiPriority w:val="0"/>
    <w:pPr>
      <w:tabs>
        <w:tab w:val="right" w:leader="dot" w:pos="9241"/>
      </w:tabs>
      <w:ind w:firstLine="505" w:firstLineChars="500"/>
      <w:jc w:val="left"/>
    </w:pPr>
    <w:rPr>
      <w:szCs w:val="21"/>
    </w:rPr>
  </w:style>
  <w:style w:type="paragraph" w:styleId="13">
    <w:name w:val="index 8"/>
    <w:basedOn w:val="1"/>
    <w:next w:val="1"/>
    <w:autoRedefine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14">
    <w:name w:val="caption"/>
    <w:basedOn w:val="1"/>
    <w:next w:val="1"/>
    <w:autoRedefine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15">
    <w:name w:val="index 5"/>
    <w:basedOn w:val="1"/>
    <w:next w:val="1"/>
    <w:autoRedefine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16">
    <w:name w:val="Document Map"/>
    <w:basedOn w:val="1"/>
    <w:autoRedefine/>
    <w:semiHidden/>
    <w:qFormat/>
    <w:uiPriority w:val="0"/>
    <w:pPr>
      <w:shd w:val="clear" w:color="auto" w:fill="000080"/>
    </w:pPr>
  </w:style>
  <w:style w:type="paragraph" w:styleId="17">
    <w:name w:val="annotation text"/>
    <w:basedOn w:val="1"/>
    <w:link w:val="66"/>
    <w:autoRedefine/>
    <w:qFormat/>
    <w:uiPriority w:val="0"/>
    <w:pPr>
      <w:jc w:val="left"/>
    </w:pPr>
  </w:style>
  <w:style w:type="paragraph" w:styleId="18">
    <w:name w:val="index 6"/>
    <w:basedOn w:val="1"/>
    <w:next w:val="1"/>
    <w:autoRedefine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19">
    <w:name w:val="Body Text"/>
    <w:basedOn w:val="1"/>
    <w:link w:val="67"/>
    <w:autoRedefine/>
    <w:qFormat/>
    <w:uiPriority w:val="0"/>
    <w:pPr>
      <w:autoSpaceDE w:val="0"/>
      <w:autoSpaceDN w:val="0"/>
      <w:jc w:val="right"/>
    </w:pPr>
    <w:rPr>
      <w:rFonts w:ascii="Times New Roman" w:hAnsi="Times New Roman"/>
      <w:kern w:val="0"/>
      <w:sz w:val="18"/>
      <w:szCs w:val="18"/>
      <w:lang w:val="ca-ES" w:eastAsia="en-US"/>
    </w:rPr>
  </w:style>
  <w:style w:type="paragraph" w:styleId="20">
    <w:name w:val="index 4"/>
    <w:basedOn w:val="1"/>
    <w:next w:val="1"/>
    <w:autoRedefine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21">
    <w:name w:val="toc 5"/>
    <w:basedOn w:val="1"/>
    <w:next w:val="1"/>
    <w:autoRedefine/>
    <w:semiHidden/>
    <w:qFormat/>
    <w:uiPriority w:val="0"/>
    <w:pPr>
      <w:tabs>
        <w:tab w:val="right" w:leader="dot" w:pos="9241"/>
      </w:tabs>
      <w:ind w:firstLine="300" w:firstLineChars="300"/>
      <w:jc w:val="left"/>
    </w:pPr>
    <w:rPr>
      <w:szCs w:val="21"/>
    </w:rPr>
  </w:style>
  <w:style w:type="paragraph" w:styleId="22">
    <w:name w:val="toc 3"/>
    <w:basedOn w:val="1"/>
    <w:next w:val="1"/>
    <w:autoRedefine/>
    <w:qFormat/>
    <w:uiPriority w:val="39"/>
    <w:pPr>
      <w:tabs>
        <w:tab w:val="right" w:leader="dot" w:pos="9241"/>
      </w:tabs>
      <w:ind w:firstLine="102" w:firstLineChars="100"/>
      <w:jc w:val="left"/>
    </w:pPr>
    <w:rPr>
      <w:szCs w:val="21"/>
    </w:rPr>
  </w:style>
  <w:style w:type="paragraph" w:styleId="23">
    <w:name w:val="toc 8"/>
    <w:basedOn w:val="1"/>
    <w:next w:val="1"/>
    <w:autoRedefine/>
    <w:semiHidden/>
    <w:qFormat/>
    <w:uiPriority w:val="0"/>
    <w:pPr>
      <w:tabs>
        <w:tab w:val="right" w:leader="dot" w:pos="9241"/>
      </w:tabs>
      <w:ind w:firstLine="607" w:firstLineChars="600"/>
      <w:jc w:val="left"/>
    </w:pPr>
    <w:rPr>
      <w:szCs w:val="21"/>
    </w:rPr>
  </w:style>
  <w:style w:type="paragraph" w:styleId="24">
    <w:name w:val="index 3"/>
    <w:basedOn w:val="1"/>
    <w:next w:val="1"/>
    <w:autoRedefine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25">
    <w:name w:val="Date"/>
    <w:basedOn w:val="1"/>
    <w:next w:val="1"/>
    <w:link w:val="68"/>
    <w:autoRedefine/>
    <w:qFormat/>
    <w:uiPriority w:val="0"/>
    <w:pPr>
      <w:ind w:left="100" w:leftChars="2500"/>
    </w:pPr>
  </w:style>
  <w:style w:type="paragraph" w:styleId="26">
    <w:name w:val="endnote text"/>
    <w:basedOn w:val="1"/>
    <w:autoRedefine/>
    <w:semiHidden/>
    <w:qFormat/>
    <w:uiPriority w:val="0"/>
    <w:pPr>
      <w:snapToGrid w:val="0"/>
      <w:jc w:val="left"/>
    </w:pPr>
  </w:style>
  <w:style w:type="paragraph" w:styleId="27">
    <w:name w:val="Balloon Text"/>
    <w:basedOn w:val="1"/>
    <w:link w:val="69"/>
    <w:autoRedefine/>
    <w:qFormat/>
    <w:uiPriority w:val="99"/>
    <w:rPr>
      <w:rFonts w:ascii="Calibri" w:hAnsi="Calibri" w:cs="Calibri"/>
      <w:sz w:val="18"/>
      <w:szCs w:val="18"/>
    </w:rPr>
  </w:style>
  <w:style w:type="paragraph" w:styleId="28">
    <w:name w:val="footer"/>
    <w:basedOn w:val="1"/>
    <w:link w:val="70"/>
    <w:autoRedefine/>
    <w:qFormat/>
    <w:uiPriority w:val="99"/>
    <w:pPr>
      <w:wordWrap w:val="0"/>
      <w:snapToGrid w:val="0"/>
      <w:jc w:val="right"/>
    </w:pPr>
    <w:rPr>
      <w:rFonts w:ascii="Times New Roman" w:hAnsi="Times New Roman"/>
      <w:sz w:val="18"/>
      <w:szCs w:val="18"/>
    </w:rPr>
  </w:style>
  <w:style w:type="paragraph" w:styleId="29">
    <w:name w:val="header"/>
    <w:basedOn w:val="1"/>
    <w:link w:val="71"/>
    <w:autoRedefine/>
    <w:qFormat/>
    <w:uiPriority w:val="99"/>
    <w:pPr>
      <w:snapToGrid w:val="0"/>
      <w:jc w:val="right"/>
    </w:pPr>
    <w:rPr>
      <w:rFonts w:ascii="黑体" w:eastAsia="黑体"/>
      <w:szCs w:val="21"/>
    </w:rPr>
  </w:style>
  <w:style w:type="paragraph" w:styleId="30">
    <w:name w:val="toc 1"/>
    <w:basedOn w:val="1"/>
    <w:next w:val="1"/>
    <w:autoRedefine/>
    <w:qFormat/>
    <w:uiPriority w:val="39"/>
    <w:pPr>
      <w:tabs>
        <w:tab w:val="right" w:leader="dot" w:pos="9737"/>
      </w:tabs>
      <w:spacing w:line="360" w:lineRule="auto"/>
      <w:jc w:val="left"/>
    </w:pPr>
    <w:rPr>
      <w:szCs w:val="21"/>
    </w:rPr>
  </w:style>
  <w:style w:type="paragraph" w:styleId="31">
    <w:name w:val="toc 4"/>
    <w:basedOn w:val="1"/>
    <w:next w:val="1"/>
    <w:autoRedefine/>
    <w:semiHidden/>
    <w:qFormat/>
    <w:uiPriority w:val="0"/>
    <w:pPr>
      <w:tabs>
        <w:tab w:val="right" w:leader="dot" w:pos="9241"/>
      </w:tabs>
      <w:ind w:firstLine="198" w:firstLineChars="200"/>
      <w:jc w:val="left"/>
    </w:pPr>
    <w:rPr>
      <w:szCs w:val="21"/>
    </w:rPr>
  </w:style>
  <w:style w:type="paragraph" w:styleId="32">
    <w:name w:val="index heading"/>
    <w:basedOn w:val="1"/>
    <w:next w:val="33"/>
    <w:autoRedefine/>
    <w:qFormat/>
    <w:uiPriority w:val="0"/>
    <w:pPr>
      <w:spacing w:before="120" w:after="120"/>
    </w:pPr>
    <w:rPr>
      <w:rFonts w:ascii="Calibri" w:hAnsi="Calibri"/>
      <w:b/>
      <w:bCs/>
      <w:iCs/>
      <w:szCs w:val="20"/>
    </w:rPr>
  </w:style>
  <w:style w:type="paragraph" w:styleId="33">
    <w:name w:val="index 1"/>
    <w:basedOn w:val="1"/>
    <w:next w:val="34"/>
    <w:autoRedefine/>
    <w:qFormat/>
    <w:uiPriority w:val="0"/>
    <w:pPr>
      <w:tabs>
        <w:tab w:val="right" w:leader="dot" w:pos="9299"/>
      </w:tabs>
      <w:jc w:val="left"/>
    </w:pPr>
    <w:rPr>
      <w:szCs w:val="21"/>
    </w:rPr>
  </w:style>
  <w:style w:type="paragraph" w:customStyle="1" w:styleId="34">
    <w:name w:val="段"/>
    <w:link w:val="72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before="120" w:beforeLines="50" w:after="120" w:afterLines="50" w:line="276" w:lineRule="auto"/>
      <w:ind w:firstLine="420" w:firstLineChars="200"/>
      <w:jc w:val="both"/>
    </w:pPr>
    <w:rPr>
      <w:rFonts w:ascii="宋体" w:hAnsi="宋体" w:cs="Times New Roman" w:eastAsiaTheme="minorEastAsia"/>
      <w:color w:val="000000"/>
      <w:sz w:val="21"/>
      <w:szCs w:val="21"/>
      <w:lang w:val="en-US" w:eastAsia="zh-CN" w:bidi="ar-SA"/>
    </w:rPr>
  </w:style>
  <w:style w:type="paragraph" w:styleId="35">
    <w:name w:val="footnote text"/>
    <w:basedOn w:val="1"/>
    <w:autoRedefine/>
    <w:qFormat/>
    <w:uiPriority w:val="0"/>
    <w:pPr>
      <w:numPr>
        <w:ilvl w:val="0"/>
        <w:numId w:val="2"/>
      </w:numPr>
      <w:snapToGrid w:val="0"/>
      <w:jc w:val="left"/>
    </w:pPr>
    <w:rPr>
      <w:sz w:val="18"/>
      <w:szCs w:val="18"/>
    </w:rPr>
  </w:style>
  <w:style w:type="paragraph" w:styleId="36">
    <w:name w:val="toc 6"/>
    <w:basedOn w:val="1"/>
    <w:next w:val="1"/>
    <w:autoRedefine/>
    <w:semiHidden/>
    <w:qFormat/>
    <w:uiPriority w:val="0"/>
    <w:pPr>
      <w:tabs>
        <w:tab w:val="right" w:leader="dot" w:pos="9241"/>
      </w:tabs>
      <w:ind w:firstLine="403" w:firstLineChars="400"/>
      <w:jc w:val="left"/>
    </w:pPr>
    <w:rPr>
      <w:szCs w:val="21"/>
    </w:rPr>
  </w:style>
  <w:style w:type="paragraph" w:styleId="37">
    <w:name w:val="index 7"/>
    <w:basedOn w:val="1"/>
    <w:next w:val="1"/>
    <w:autoRedefine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38">
    <w:name w:val="index 9"/>
    <w:basedOn w:val="1"/>
    <w:next w:val="1"/>
    <w:autoRedefine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39">
    <w:name w:val="toc 2"/>
    <w:basedOn w:val="1"/>
    <w:next w:val="1"/>
    <w:autoRedefine/>
    <w:qFormat/>
    <w:uiPriority w:val="39"/>
    <w:pPr>
      <w:tabs>
        <w:tab w:val="right" w:leader="dot" w:pos="9241"/>
      </w:tabs>
    </w:pPr>
    <w:rPr>
      <w:szCs w:val="21"/>
    </w:rPr>
  </w:style>
  <w:style w:type="paragraph" w:styleId="40">
    <w:name w:val="toc 9"/>
    <w:basedOn w:val="1"/>
    <w:next w:val="1"/>
    <w:autoRedefine/>
    <w:semiHidden/>
    <w:qFormat/>
    <w:uiPriority w:val="0"/>
    <w:pPr>
      <w:ind w:left="1470"/>
      <w:jc w:val="left"/>
    </w:pPr>
    <w:rPr>
      <w:sz w:val="20"/>
      <w:szCs w:val="20"/>
    </w:rPr>
  </w:style>
  <w:style w:type="paragraph" w:styleId="41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styleId="42">
    <w:name w:val="index 2"/>
    <w:basedOn w:val="1"/>
    <w:next w:val="1"/>
    <w:autoRedefine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43">
    <w:name w:val="Title"/>
    <w:basedOn w:val="1"/>
    <w:link w:val="73"/>
    <w:autoRedefine/>
    <w:qFormat/>
    <w:uiPriority w:val="1"/>
    <w:pPr>
      <w:autoSpaceDE w:val="0"/>
      <w:autoSpaceDN w:val="0"/>
      <w:ind w:left="576"/>
      <w:jc w:val="left"/>
    </w:pPr>
    <w:rPr>
      <w:rFonts w:ascii="黑体" w:hAnsi="黑体" w:eastAsia="黑体"/>
      <w:kern w:val="0"/>
      <w:sz w:val="52"/>
      <w:szCs w:val="52"/>
      <w:lang w:val="ca-ES" w:eastAsia="en-US"/>
    </w:rPr>
  </w:style>
  <w:style w:type="paragraph" w:styleId="44">
    <w:name w:val="annotation subject"/>
    <w:basedOn w:val="17"/>
    <w:next w:val="17"/>
    <w:link w:val="74"/>
    <w:autoRedefine/>
    <w:qFormat/>
    <w:uiPriority w:val="99"/>
    <w:rPr>
      <w:b/>
      <w:bCs/>
    </w:rPr>
  </w:style>
  <w:style w:type="table" w:styleId="46">
    <w:name w:val="Table Grid"/>
    <w:basedOn w:val="45"/>
    <w:autoRedefine/>
    <w:qFormat/>
    <w:uiPriority w:val="39"/>
    <w:rPr>
      <w:rFonts w:ascii="宋体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48">
    <w:name w:val="Strong"/>
    <w:autoRedefine/>
    <w:qFormat/>
    <w:uiPriority w:val="22"/>
    <w:rPr>
      <w:b/>
      <w:bCs/>
    </w:rPr>
  </w:style>
  <w:style w:type="character" w:styleId="49">
    <w:name w:val="endnote reference"/>
    <w:autoRedefine/>
    <w:semiHidden/>
    <w:qFormat/>
    <w:uiPriority w:val="0"/>
    <w:rPr>
      <w:vertAlign w:val="superscript"/>
    </w:rPr>
  </w:style>
  <w:style w:type="character" w:styleId="50">
    <w:name w:val="page number"/>
    <w:autoRedefine/>
    <w:qFormat/>
    <w:uiPriority w:val="0"/>
    <w:rPr>
      <w:rFonts w:ascii="Times New Roman" w:hAnsi="Times New Roman" w:eastAsia="宋体"/>
      <w:sz w:val="18"/>
    </w:rPr>
  </w:style>
  <w:style w:type="character" w:styleId="51">
    <w:name w:val="FollowedHyperlink"/>
    <w:autoRedefine/>
    <w:qFormat/>
    <w:uiPriority w:val="99"/>
    <w:rPr>
      <w:color w:val="800080"/>
      <w:u w:val="single"/>
    </w:rPr>
  </w:style>
  <w:style w:type="character" w:styleId="52">
    <w:name w:val="Emphasis"/>
    <w:autoRedefine/>
    <w:qFormat/>
    <w:uiPriority w:val="20"/>
    <w:rPr>
      <w:i/>
      <w:iCs/>
    </w:rPr>
  </w:style>
  <w:style w:type="character" w:styleId="53">
    <w:name w:val="Hyperlink"/>
    <w:autoRedefine/>
    <w:qFormat/>
    <w:uiPriority w:val="99"/>
    <w:rPr>
      <w:color w:val="0000FF"/>
      <w:spacing w:val="0"/>
      <w:w w:val="100"/>
      <w:szCs w:val="21"/>
      <w:u w:val="single"/>
    </w:rPr>
  </w:style>
  <w:style w:type="character" w:styleId="54">
    <w:name w:val="annotation reference"/>
    <w:autoRedefine/>
    <w:qFormat/>
    <w:uiPriority w:val="99"/>
    <w:rPr>
      <w:sz w:val="21"/>
      <w:szCs w:val="21"/>
    </w:rPr>
  </w:style>
  <w:style w:type="character" w:styleId="55">
    <w:name w:val="footnote reference"/>
    <w:autoRedefine/>
    <w:semiHidden/>
    <w:qFormat/>
    <w:uiPriority w:val="0"/>
    <w:rPr>
      <w:vertAlign w:val="superscript"/>
    </w:rPr>
  </w:style>
  <w:style w:type="character" w:customStyle="1" w:styleId="56">
    <w:name w:val="页脚 字符"/>
    <w:autoRedefine/>
    <w:qFormat/>
    <w:uiPriority w:val="99"/>
    <w:rPr>
      <w:kern w:val="2"/>
      <w:sz w:val="18"/>
    </w:rPr>
  </w:style>
  <w:style w:type="character" w:customStyle="1" w:styleId="57">
    <w:name w:val="标题 1 字符"/>
    <w:link w:val="3"/>
    <w:autoRedefine/>
    <w:qFormat/>
    <w:uiPriority w:val="1"/>
    <w:rPr>
      <w:rFonts w:ascii="宋体" w:hAnsi="宋体"/>
      <w:b/>
      <w:bCs/>
      <w:kern w:val="2"/>
      <w:sz w:val="32"/>
      <w:szCs w:val="28"/>
      <w:lang w:eastAsia="ja-JP"/>
    </w:rPr>
  </w:style>
  <w:style w:type="character" w:customStyle="1" w:styleId="58">
    <w:name w:val="标题 2 字符"/>
    <w:link w:val="4"/>
    <w:autoRedefine/>
    <w:qFormat/>
    <w:uiPriority w:val="1"/>
    <w:rPr>
      <w:rFonts w:ascii="宋体" w:hAnsi="宋体"/>
      <w:b/>
      <w:bCs/>
      <w:kern w:val="2"/>
      <w:sz w:val="30"/>
      <w:szCs w:val="32"/>
    </w:rPr>
  </w:style>
  <w:style w:type="character" w:customStyle="1" w:styleId="59">
    <w:name w:val="标题 3 字符"/>
    <w:link w:val="5"/>
    <w:autoRedefine/>
    <w:qFormat/>
    <w:uiPriority w:val="1"/>
    <w:rPr>
      <w:rFonts w:ascii="宋体" w:hAnsi="宋体"/>
      <w:b/>
      <w:bCs/>
      <w:kern w:val="2"/>
      <w:sz w:val="28"/>
      <w:szCs w:val="32"/>
    </w:rPr>
  </w:style>
  <w:style w:type="character" w:customStyle="1" w:styleId="60">
    <w:name w:val="标题 4 字符"/>
    <w:link w:val="6"/>
    <w:autoRedefine/>
    <w:qFormat/>
    <w:uiPriority w:val="1"/>
    <w:rPr>
      <w:rFonts w:ascii="宋体" w:hAnsi="宋体"/>
      <w:b/>
      <w:bCs/>
      <w:kern w:val="2"/>
      <w:sz w:val="26"/>
      <w:szCs w:val="28"/>
    </w:rPr>
  </w:style>
  <w:style w:type="character" w:customStyle="1" w:styleId="61">
    <w:name w:val="标题 5 字符"/>
    <w:link w:val="7"/>
    <w:autoRedefine/>
    <w:qFormat/>
    <w:uiPriority w:val="1"/>
    <w:rPr>
      <w:rFonts w:ascii="宋体" w:hAnsi="宋体" w:eastAsia="黑体"/>
      <w:b/>
      <w:bCs/>
      <w:kern w:val="2"/>
      <w:sz w:val="24"/>
      <w:szCs w:val="28"/>
    </w:rPr>
  </w:style>
  <w:style w:type="character" w:customStyle="1" w:styleId="62">
    <w:name w:val="标题 6 字符"/>
    <w:link w:val="8"/>
    <w:autoRedefine/>
    <w:qFormat/>
    <w:uiPriority w:val="9"/>
    <w:rPr>
      <w:rFonts w:ascii="宋体" w:hAnsi="宋体"/>
      <w:b/>
      <w:bCs/>
      <w:kern w:val="2"/>
      <w:sz w:val="24"/>
      <w:szCs w:val="21"/>
    </w:rPr>
  </w:style>
  <w:style w:type="character" w:customStyle="1" w:styleId="63">
    <w:name w:val="标题 7 字符"/>
    <w:link w:val="9"/>
    <w:autoRedefine/>
    <w:qFormat/>
    <w:uiPriority w:val="9"/>
    <w:rPr>
      <w:rFonts w:ascii="宋体" w:hAnsi="宋体" w:eastAsia="黑体"/>
      <w:bCs/>
      <w:kern w:val="2"/>
      <w:sz w:val="24"/>
      <w:szCs w:val="21"/>
    </w:rPr>
  </w:style>
  <w:style w:type="character" w:customStyle="1" w:styleId="64">
    <w:name w:val="标题 8 字符"/>
    <w:link w:val="10"/>
    <w:autoRedefine/>
    <w:qFormat/>
    <w:uiPriority w:val="9"/>
    <w:rPr>
      <w:rFonts w:ascii="宋体" w:hAnsi="宋体"/>
      <w:kern w:val="2"/>
      <w:sz w:val="24"/>
      <w:szCs w:val="21"/>
    </w:rPr>
  </w:style>
  <w:style w:type="character" w:customStyle="1" w:styleId="65">
    <w:name w:val="标题 9 字符"/>
    <w:link w:val="11"/>
    <w:autoRedefine/>
    <w:qFormat/>
    <w:uiPriority w:val="9"/>
    <w:rPr>
      <w:rFonts w:ascii="宋体" w:hAnsi="宋体"/>
      <w:kern w:val="2"/>
      <w:sz w:val="24"/>
      <w:szCs w:val="21"/>
    </w:rPr>
  </w:style>
  <w:style w:type="character" w:customStyle="1" w:styleId="66">
    <w:name w:val="批注文字 字符"/>
    <w:link w:val="17"/>
    <w:autoRedefine/>
    <w:qFormat/>
    <w:uiPriority w:val="0"/>
    <w:rPr>
      <w:kern w:val="2"/>
      <w:sz w:val="21"/>
      <w:szCs w:val="24"/>
    </w:rPr>
  </w:style>
  <w:style w:type="character" w:customStyle="1" w:styleId="67">
    <w:name w:val="正文文本 字符"/>
    <w:link w:val="19"/>
    <w:autoRedefine/>
    <w:qFormat/>
    <w:uiPriority w:val="0"/>
    <w:rPr>
      <w:sz w:val="18"/>
      <w:szCs w:val="18"/>
      <w:lang w:val="ca-ES" w:eastAsia="en-US"/>
    </w:rPr>
  </w:style>
  <w:style w:type="character" w:customStyle="1" w:styleId="68">
    <w:name w:val="日期 字符"/>
    <w:link w:val="25"/>
    <w:autoRedefine/>
    <w:qFormat/>
    <w:uiPriority w:val="0"/>
    <w:rPr>
      <w:kern w:val="2"/>
      <w:sz w:val="21"/>
      <w:szCs w:val="24"/>
    </w:rPr>
  </w:style>
  <w:style w:type="character" w:customStyle="1" w:styleId="69">
    <w:name w:val="批注框文本 字符"/>
    <w:link w:val="27"/>
    <w:autoRedefine/>
    <w:qFormat/>
    <w:uiPriority w:val="99"/>
    <w:rPr>
      <w:rFonts w:ascii="Calibri" w:hAnsi="Calibri" w:eastAsia="宋体" w:cs="Calibri"/>
      <w:kern w:val="2"/>
      <w:sz w:val="18"/>
      <w:szCs w:val="18"/>
      <w:lang w:val="en-US" w:eastAsia="zh-CN" w:bidi="ar-SA"/>
    </w:rPr>
  </w:style>
  <w:style w:type="character" w:customStyle="1" w:styleId="70">
    <w:name w:val="页脚 字符1"/>
    <w:link w:val="28"/>
    <w:autoRedefine/>
    <w:qFormat/>
    <w:locked/>
    <w:uiPriority w:val="99"/>
    <w:rPr>
      <w:kern w:val="2"/>
      <w:sz w:val="18"/>
      <w:szCs w:val="18"/>
    </w:rPr>
  </w:style>
  <w:style w:type="character" w:customStyle="1" w:styleId="71">
    <w:name w:val="页眉 字符"/>
    <w:link w:val="29"/>
    <w:autoRedefine/>
    <w:qFormat/>
    <w:locked/>
    <w:uiPriority w:val="99"/>
    <w:rPr>
      <w:rFonts w:ascii="黑体" w:hAnsi="宋体" w:eastAsia="黑体"/>
      <w:kern w:val="2"/>
      <w:sz w:val="21"/>
      <w:szCs w:val="21"/>
    </w:rPr>
  </w:style>
  <w:style w:type="character" w:customStyle="1" w:styleId="72">
    <w:name w:val="段 Char"/>
    <w:link w:val="34"/>
    <w:autoRedefine/>
    <w:qFormat/>
    <w:uiPriority w:val="0"/>
    <w:rPr>
      <w:rFonts w:ascii="宋体" w:hAnsi="宋体" w:eastAsiaTheme="minorEastAsia"/>
      <w:color w:val="000000"/>
      <w:sz w:val="21"/>
      <w:szCs w:val="21"/>
    </w:rPr>
  </w:style>
  <w:style w:type="character" w:customStyle="1" w:styleId="73">
    <w:name w:val="标题 字符"/>
    <w:link w:val="43"/>
    <w:autoRedefine/>
    <w:qFormat/>
    <w:uiPriority w:val="1"/>
    <w:rPr>
      <w:rFonts w:ascii="黑体" w:hAnsi="黑体" w:eastAsia="黑体" w:cs="黑体"/>
      <w:sz w:val="52"/>
      <w:szCs w:val="52"/>
      <w:lang w:val="ca-ES" w:eastAsia="en-US"/>
    </w:rPr>
  </w:style>
  <w:style w:type="character" w:customStyle="1" w:styleId="74">
    <w:name w:val="批注主题 字符"/>
    <w:link w:val="44"/>
    <w:autoRedefine/>
    <w:qFormat/>
    <w:uiPriority w:val="99"/>
    <w:rPr>
      <w:b/>
      <w:bCs/>
      <w:kern w:val="2"/>
      <w:sz w:val="21"/>
      <w:szCs w:val="24"/>
    </w:rPr>
  </w:style>
  <w:style w:type="character" w:customStyle="1" w:styleId="75">
    <w:name w:val="章标题 Char"/>
    <w:link w:val="76"/>
    <w:autoRedefine/>
    <w:qFormat/>
    <w:uiPriority w:val="0"/>
    <w:rPr>
      <w:rFonts w:ascii="黑体" w:eastAsia="黑体"/>
      <w:sz w:val="21"/>
      <w:szCs w:val="21"/>
    </w:rPr>
  </w:style>
  <w:style w:type="paragraph" w:customStyle="1" w:styleId="76">
    <w:name w:val="章标题"/>
    <w:next w:val="34"/>
    <w:link w:val="75"/>
    <w:autoRedefine/>
    <w:qFormat/>
    <w:uiPriority w:val="0"/>
    <w:pPr>
      <w:numPr>
        <w:ilvl w:val="0"/>
        <w:numId w:val="3"/>
      </w:numPr>
      <w:spacing w:before="240" w:beforeLines="100" w:after="240" w:afterLines="100"/>
      <w:ind w:left="0" w:firstLine="0"/>
      <w:jc w:val="both"/>
      <w:outlineLvl w:val="0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character" w:customStyle="1" w:styleId="77">
    <w:name w:val="_HT_列表（数字） Char"/>
    <w:link w:val="78"/>
    <w:autoRedefine/>
    <w:qFormat/>
    <w:uiPriority w:val="0"/>
    <w:rPr>
      <w:rFonts w:ascii="宋体" w:hAnsi="宋体"/>
      <w:kern w:val="2"/>
      <w:sz w:val="24"/>
      <w:szCs w:val="21"/>
    </w:rPr>
  </w:style>
  <w:style w:type="paragraph" w:customStyle="1" w:styleId="78">
    <w:name w:val="_HT_列表（数字）"/>
    <w:basedOn w:val="1"/>
    <w:link w:val="77"/>
    <w:autoRedefine/>
    <w:qFormat/>
    <w:uiPriority w:val="0"/>
    <w:pPr>
      <w:widowControl/>
      <w:numPr>
        <w:ilvl w:val="0"/>
        <w:numId w:val="4"/>
      </w:numPr>
      <w:spacing w:line="480" w:lineRule="exact"/>
    </w:pPr>
    <w:rPr>
      <w:sz w:val="24"/>
      <w:szCs w:val="21"/>
    </w:rPr>
  </w:style>
  <w:style w:type="character" w:customStyle="1" w:styleId="79">
    <w:name w:val="发布"/>
    <w:autoRedefine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80">
    <w:name w:val="注： Char"/>
    <w:link w:val="81"/>
    <w:autoRedefine/>
    <w:qFormat/>
    <w:uiPriority w:val="0"/>
    <w:rPr>
      <w:rFonts w:ascii="宋体"/>
      <w:sz w:val="18"/>
      <w:szCs w:val="18"/>
    </w:rPr>
  </w:style>
  <w:style w:type="paragraph" w:customStyle="1" w:styleId="81">
    <w:name w:val="注："/>
    <w:next w:val="34"/>
    <w:link w:val="80"/>
    <w:autoRedefine/>
    <w:qFormat/>
    <w:uiPriority w:val="0"/>
    <w:pPr>
      <w:widowControl w:val="0"/>
      <w:numPr>
        <w:ilvl w:val="0"/>
        <w:numId w:val="5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character" w:customStyle="1" w:styleId="82">
    <w:name w:val="Char Char4"/>
    <w:autoRedefine/>
    <w:qFormat/>
    <w:uiPriority w:val="0"/>
    <w:rPr>
      <w:rFonts w:ascii="Calibri" w:hAnsi="Calibri" w:eastAsia="宋体" w:cs="Calibri"/>
      <w:b/>
      <w:bCs/>
      <w:kern w:val="2"/>
      <w:sz w:val="24"/>
      <w:szCs w:val="24"/>
      <w:lang w:val="en-US" w:eastAsia="zh-CN" w:bidi="ar-SA"/>
    </w:rPr>
  </w:style>
  <w:style w:type="character" w:customStyle="1" w:styleId="83">
    <w:name w:val="Char Char3"/>
    <w:autoRedefine/>
    <w:qFormat/>
    <w:uiPriority w:val="0"/>
    <w:rPr>
      <w:rFonts w:ascii="Cambria" w:hAnsi="Cambria" w:eastAsia="宋体" w:cs="Cambria"/>
      <w:b/>
      <w:bCs/>
      <w:kern w:val="2"/>
      <w:sz w:val="24"/>
      <w:szCs w:val="24"/>
      <w:lang w:val="en-US" w:eastAsia="zh-CN" w:bidi="ar-SA"/>
    </w:rPr>
  </w:style>
  <w:style w:type="character" w:customStyle="1" w:styleId="84">
    <w:name w:val="Char Char7"/>
    <w:autoRedefine/>
    <w:qFormat/>
    <w:uiPriority w:val="0"/>
    <w:rPr>
      <w:rFonts w:ascii="Cambria" w:hAnsi="Cambria" w:eastAsia="宋体" w:cs="Cambria"/>
      <w:b/>
      <w:bCs/>
      <w:kern w:val="2"/>
      <w:sz w:val="30"/>
      <w:szCs w:val="30"/>
      <w:lang w:val="en-US" w:eastAsia="zh-CN" w:bidi="ar-SA"/>
    </w:rPr>
  </w:style>
  <w:style w:type="character" w:customStyle="1" w:styleId="85">
    <w:name w:val="Char Char8"/>
    <w:autoRedefine/>
    <w:qFormat/>
    <w:uiPriority w:val="0"/>
    <w:rPr>
      <w:rFonts w:ascii="Calibri" w:hAnsi="Calibri" w:eastAsia="黑体" w:cs="Calibri"/>
      <w:b/>
      <w:bCs/>
      <w:kern w:val="44"/>
      <w:sz w:val="32"/>
      <w:szCs w:val="32"/>
      <w:lang w:val="en-US" w:eastAsia="zh-CN" w:bidi="ar-SA"/>
    </w:rPr>
  </w:style>
  <w:style w:type="character" w:customStyle="1" w:styleId="86">
    <w:name w:val="Char Char6"/>
    <w:autoRedefine/>
    <w:qFormat/>
    <w:uiPriority w:val="0"/>
    <w:rPr>
      <w:rFonts w:ascii="Calibri" w:hAnsi="Calibri" w:eastAsia="宋体" w:cs="Calibri"/>
      <w:b/>
      <w:bCs/>
      <w:kern w:val="2"/>
      <w:sz w:val="28"/>
      <w:szCs w:val="28"/>
      <w:lang w:val="en-US" w:eastAsia="zh-CN" w:bidi="ar-SA"/>
    </w:rPr>
  </w:style>
  <w:style w:type="character" w:customStyle="1" w:styleId="87">
    <w:name w:val="首示例 Char"/>
    <w:link w:val="88"/>
    <w:autoRedefine/>
    <w:qFormat/>
    <w:uiPriority w:val="0"/>
    <w:rPr>
      <w:rFonts w:ascii="宋体" w:hAnsi="宋体"/>
      <w:kern w:val="2"/>
      <w:sz w:val="18"/>
      <w:szCs w:val="18"/>
    </w:rPr>
  </w:style>
  <w:style w:type="paragraph" w:customStyle="1" w:styleId="88">
    <w:name w:val="首示例"/>
    <w:next w:val="34"/>
    <w:link w:val="87"/>
    <w:autoRedefine/>
    <w:qFormat/>
    <w:uiPriority w:val="0"/>
    <w:pPr>
      <w:numPr>
        <w:ilvl w:val="0"/>
        <w:numId w:val="6"/>
      </w:numPr>
      <w:tabs>
        <w:tab w:val="left" w:pos="360"/>
      </w:tabs>
      <w:ind w:firstLine="0"/>
    </w:pPr>
    <w:rPr>
      <w:rFonts w:ascii="宋体" w:hAnsi="宋体" w:eastAsia="宋体" w:cs="Times New Roman"/>
      <w:kern w:val="2"/>
      <w:sz w:val="18"/>
      <w:szCs w:val="18"/>
      <w:lang w:val="en-US" w:eastAsia="zh-CN" w:bidi="ar-SA"/>
    </w:rPr>
  </w:style>
  <w:style w:type="character" w:customStyle="1" w:styleId="89">
    <w:name w:val="中等深浅底纹 1 - 着色 2 字符"/>
    <w:link w:val="90"/>
    <w:autoRedefine/>
    <w:qFormat/>
    <w:locked/>
    <w:uiPriority w:val="0"/>
    <w:rPr>
      <w:rFonts w:ascii="Calibri" w:hAnsi="Calibri"/>
      <w:sz w:val="22"/>
      <w:szCs w:val="22"/>
      <w:lang w:val="en-US" w:eastAsia="zh-CN" w:bidi="ar-SA"/>
    </w:rPr>
  </w:style>
  <w:style w:type="paragraph" w:customStyle="1" w:styleId="90">
    <w:name w:val="中等深浅底纹 1 - 着色 21"/>
    <w:link w:val="89"/>
    <w:autoRedefine/>
    <w:qFormat/>
    <w:uiPriority w:val="0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91">
    <w:name w:val="附录公式 Char"/>
    <w:link w:val="92"/>
    <w:autoRedefine/>
    <w:qFormat/>
    <w:uiPriority w:val="0"/>
    <w:rPr>
      <w:lang w:val="en-US" w:eastAsia="zh-CN" w:bidi="ar-SA"/>
    </w:rPr>
  </w:style>
  <w:style w:type="paragraph" w:customStyle="1" w:styleId="92">
    <w:name w:val="附录公式"/>
    <w:basedOn w:val="34"/>
    <w:next w:val="34"/>
    <w:link w:val="91"/>
    <w:autoRedefine/>
    <w:qFormat/>
    <w:uiPriority w:val="0"/>
  </w:style>
  <w:style w:type="character" w:customStyle="1" w:styleId="93">
    <w:name w:val="Char Char5"/>
    <w:autoRedefine/>
    <w:qFormat/>
    <w:uiPriority w:val="0"/>
    <w:rPr>
      <w:rFonts w:ascii="Cambria" w:hAnsi="Cambria" w:eastAsia="宋体" w:cs="Cambria"/>
      <w:b/>
      <w:bCs/>
      <w:kern w:val="2"/>
      <w:sz w:val="24"/>
      <w:szCs w:val="24"/>
      <w:lang w:val="en-US" w:eastAsia="zh-CN" w:bidi="ar-SA"/>
    </w:rPr>
  </w:style>
  <w:style w:type="paragraph" w:customStyle="1" w:styleId="94">
    <w:name w:val="font0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color w:val="000000"/>
      <w:kern w:val="0"/>
      <w:sz w:val="22"/>
      <w:szCs w:val="22"/>
    </w:rPr>
  </w:style>
  <w:style w:type="paragraph" w:customStyle="1" w:styleId="95">
    <w:name w:val="xl80"/>
    <w:basedOn w:val="1"/>
    <w:autoRedefine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ind w:firstLine="300" w:firstLineChars="300"/>
      <w:jc w:val="left"/>
    </w:pPr>
    <w:rPr>
      <w:rFonts w:cs="宋体"/>
      <w:kern w:val="0"/>
      <w:sz w:val="24"/>
    </w:rPr>
  </w:style>
  <w:style w:type="paragraph" w:customStyle="1" w:styleId="96">
    <w:name w:val="字母编号列项（一级）"/>
    <w:autoRedefine/>
    <w:qFormat/>
    <w:uiPriority w:val="0"/>
    <w:pPr>
      <w:numPr>
        <w:ilvl w:val="0"/>
        <w:numId w:val="7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7">
    <w:name w:val="二级条标题"/>
    <w:basedOn w:val="98"/>
    <w:next w:val="34"/>
    <w:link w:val="99"/>
    <w:autoRedefine/>
    <w:qFormat/>
    <w:uiPriority w:val="0"/>
    <w:pPr>
      <w:numPr>
        <w:ilvl w:val="2"/>
        <w:numId w:val="8"/>
      </w:numPr>
      <w:outlineLvl w:val="3"/>
    </w:pPr>
  </w:style>
  <w:style w:type="paragraph" w:customStyle="1" w:styleId="98">
    <w:name w:val="一级条标题"/>
    <w:next w:val="34"/>
    <w:autoRedefine/>
    <w:qFormat/>
    <w:uiPriority w:val="0"/>
    <w:pPr>
      <w:spacing w:before="240" w:beforeLines="100" w:after="240" w:afterLines="100"/>
      <w:jc w:val="both"/>
      <w:outlineLvl w:val="0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character" w:customStyle="1" w:styleId="99">
    <w:name w:val="二级条标题 Char"/>
    <w:link w:val="97"/>
    <w:autoRedefine/>
    <w:qFormat/>
    <w:uiPriority w:val="0"/>
    <w:rPr>
      <w:rFonts w:ascii="黑体" w:eastAsia="黑体"/>
      <w:sz w:val="21"/>
      <w:szCs w:val="21"/>
    </w:rPr>
  </w:style>
  <w:style w:type="paragraph" w:customStyle="1" w:styleId="100">
    <w:name w:val="样式 样式 三级条标题 + 段前: 0.5 行 段后: 0.5 行 + 段前: 0.5 行 段后: 0.5 行"/>
    <w:basedOn w:val="101"/>
    <w:autoRedefine/>
    <w:qFormat/>
    <w:uiPriority w:val="0"/>
    <w:pPr>
      <w:numPr>
        <w:ilvl w:val="3"/>
        <w:numId w:val="8"/>
      </w:numPr>
    </w:pPr>
  </w:style>
  <w:style w:type="paragraph" w:customStyle="1" w:styleId="101">
    <w:name w:val="样式 三级条标题 + 段前: 0.5 行 段后: 0.5 行"/>
    <w:basedOn w:val="102"/>
    <w:autoRedefine/>
    <w:qFormat/>
    <w:uiPriority w:val="0"/>
    <w:pPr>
      <w:ind w:left="0"/>
    </w:pPr>
    <w:rPr>
      <w:rFonts w:cs="宋体"/>
      <w:szCs w:val="20"/>
    </w:rPr>
  </w:style>
  <w:style w:type="paragraph" w:customStyle="1" w:styleId="102">
    <w:name w:val="三级条标题"/>
    <w:basedOn w:val="97"/>
    <w:next w:val="34"/>
    <w:link w:val="103"/>
    <w:autoRedefine/>
    <w:qFormat/>
    <w:uiPriority w:val="0"/>
    <w:pPr>
      <w:numPr>
        <w:ilvl w:val="0"/>
        <w:numId w:val="0"/>
      </w:numPr>
      <w:ind w:left="1843"/>
      <w:outlineLvl w:val="4"/>
    </w:pPr>
  </w:style>
  <w:style w:type="character" w:customStyle="1" w:styleId="103">
    <w:name w:val="三级条标题 Char"/>
    <w:link w:val="102"/>
    <w:autoRedefine/>
    <w:qFormat/>
    <w:uiPriority w:val="0"/>
    <w:rPr>
      <w:rFonts w:ascii="黑体" w:eastAsia="黑体"/>
      <w:sz w:val="21"/>
      <w:szCs w:val="21"/>
    </w:rPr>
  </w:style>
  <w:style w:type="paragraph" w:customStyle="1" w:styleId="104">
    <w:name w:val="font6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color w:val="000000"/>
      <w:kern w:val="0"/>
      <w:sz w:val="22"/>
      <w:szCs w:val="22"/>
    </w:rPr>
  </w:style>
  <w:style w:type="paragraph" w:customStyle="1" w:styleId="105">
    <w:name w:val="其他标准称谓"/>
    <w:next w:val="1"/>
    <w:autoRedefine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06">
    <w:name w:val="xl118"/>
    <w:basedOn w:val="1"/>
    <w:autoRedefine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ind w:firstLine="200" w:firstLineChars="200"/>
      <w:jc w:val="left"/>
    </w:pPr>
    <w:rPr>
      <w:rFonts w:cs="宋体"/>
      <w:kern w:val="0"/>
      <w:sz w:val="24"/>
    </w:rPr>
  </w:style>
  <w:style w:type="paragraph" w:customStyle="1" w:styleId="107">
    <w:name w:val="注×：（正文）"/>
    <w:autoRedefine/>
    <w:qFormat/>
    <w:uiPriority w:val="0"/>
    <w:pPr>
      <w:numPr>
        <w:ilvl w:val="0"/>
        <w:numId w:val="9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08">
    <w:name w:val="附录五级无"/>
    <w:basedOn w:val="109"/>
    <w:autoRedefine/>
    <w:qFormat/>
    <w:uiPriority w:val="0"/>
    <w:pPr>
      <w:tabs>
        <w:tab w:val="left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09">
    <w:name w:val="附录五级条标题"/>
    <w:basedOn w:val="110"/>
    <w:next w:val="34"/>
    <w:autoRedefine/>
    <w:qFormat/>
    <w:uiPriority w:val="0"/>
    <w:pPr>
      <w:tabs>
        <w:tab w:val="left" w:pos="360"/>
      </w:tabs>
      <w:outlineLvl w:val="6"/>
    </w:pPr>
  </w:style>
  <w:style w:type="paragraph" w:customStyle="1" w:styleId="110">
    <w:name w:val="附录四级条标题"/>
    <w:basedOn w:val="111"/>
    <w:next w:val="34"/>
    <w:autoRedefine/>
    <w:qFormat/>
    <w:uiPriority w:val="0"/>
    <w:pPr>
      <w:numPr>
        <w:ilvl w:val="0"/>
        <w:numId w:val="0"/>
      </w:numPr>
      <w:tabs>
        <w:tab w:val="left" w:pos="360"/>
      </w:tabs>
      <w:outlineLvl w:val="5"/>
    </w:pPr>
  </w:style>
  <w:style w:type="paragraph" w:customStyle="1" w:styleId="111">
    <w:name w:val="附录三级条标题"/>
    <w:basedOn w:val="112"/>
    <w:next w:val="34"/>
    <w:autoRedefine/>
    <w:qFormat/>
    <w:uiPriority w:val="0"/>
    <w:pPr>
      <w:numPr>
        <w:ilvl w:val="4"/>
      </w:numPr>
      <w:tabs>
        <w:tab w:val="left" w:pos="360"/>
      </w:tabs>
      <w:outlineLvl w:val="4"/>
    </w:pPr>
  </w:style>
  <w:style w:type="paragraph" w:customStyle="1" w:styleId="112">
    <w:name w:val="附录二级条标题"/>
    <w:basedOn w:val="1"/>
    <w:next w:val="34"/>
    <w:autoRedefine/>
    <w:qFormat/>
    <w:uiPriority w:val="0"/>
    <w:pPr>
      <w:widowControl/>
      <w:numPr>
        <w:ilvl w:val="3"/>
        <w:numId w:val="10"/>
      </w:numPr>
      <w:tabs>
        <w:tab w:val="left" w:pos="360"/>
      </w:tabs>
      <w:wordWrap w:val="0"/>
      <w:overflowPunct w:val="0"/>
      <w:autoSpaceDE w:val="0"/>
      <w:autoSpaceDN w:val="0"/>
      <w:spacing w:before="50" w:beforeLines="50" w:after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113">
    <w:name w:val="终结线"/>
    <w:basedOn w:val="1"/>
    <w:autoRedefine/>
    <w:qFormat/>
    <w:uiPriority w:val="0"/>
    <w:pPr>
      <w:framePr w:hSpace="181" w:vSpace="181" w:wrap="around" w:vAnchor="text" w:hAnchor="margin" w:xAlign="center" w:y="285"/>
    </w:pPr>
  </w:style>
  <w:style w:type="paragraph" w:customStyle="1" w:styleId="114">
    <w:name w:val="xl96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b/>
      <w:bCs/>
      <w:kern w:val="0"/>
      <w:sz w:val="24"/>
    </w:rPr>
  </w:style>
  <w:style w:type="paragraph" w:customStyle="1" w:styleId="115">
    <w:name w:val="xl78"/>
    <w:basedOn w:val="1"/>
    <w:autoRedefine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ind w:firstLine="200" w:firstLineChars="200"/>
      <w:jc w:val="left"/>
    </w:pPr>
    <w:rPr>
      <w:rFonts w:cs="宋体"/>
      <w:kern w:val="0"/>
      <w:sz w:val="24"/>
    </w:rPr>
  </w:style>
  <w:style w:type="paragraph" w:customStyle="1" w:styleId="116">
    <w:name w:val="样式 样式 样式 样式 二级条标题 + 段前: 0.5 行 段后: 0.5 行 + 段前: 0.5 行 段后: 0.5 行 + ..."/>
    <w:basedOn w:val="117"/>
    <w:autoRedefine/>
    <w:qFormat/>
    <w:uiPriority w:val="0"/>
    <w:pPr>
      <w:ind w:firstLine="0"/>
    </w:pPr>
  </w:style>
  <w:style w:type="paragraph" w:customStyle="1" w:styleId="117">
    <w:name w:val="样式 样式 样式 二级条标题 + 段前: 0.5 行 段后: 0.5 行 + 段前: 0.5 行 段后: 0.5 行 + 段前:..."/>
    <w:basedOn w:val="118"/>
    <w:autoRedefine/>
    <w:qFormat/>
    <w:uiPriority w:val="0"/>
    <w:pPr>
      <w:ind w:firstLine="300" w:firstLineChars="300"/>
    </w:pPr>
  </w:style>
  <w:style w:type="paragraph" w:customStyle="1" w:styleId="118">
    <w:name w:val="样式 样式 二级条标题 + 段前: 0.5 行 段后: 0.5 行 + 段前: 0.5 行 段后: 0.5 行"/>
    <w:basedOn w:val="119"/>
    <w:autoRedefine/>
    <w:qFormat/>
    <w:uiPriority w:val="0"/>
    <w:pPr>
      <w:ind w:firstLine="250" w:firstLineChars="250"/>
    </w:pPr>
  </w:style>
  <w:style w:type="paragraph" w:customStyle="1" w:styleId="119">
    <w:name w:val="样式 二级条标题 + 段前: 0.5 行 段后: 0.5 行"/>
    <w:basedOn w:val="97"/>
    <w:autoRedefine/>
    <w:qFormat/>
    <w:uiPriority w:val="0"/>
    <w:pPr>
      <w:ind w:firstLine="200" w:firstLineChars="200"/>
    </w:pPr>
    <w:rPr>
      <w:rFonts w:cs="宋体"/>
      <w:szCs w:val="20"/>
    </w:rPr>
  </w:style>
  <w:style w:type="paragraph" w:customStyle="1" w:styleId="120">
    <w:name w:val="样式 样式 样式 三级条标题 + 段前: 0.5 行 段后: 0.5 行 + 段前: 0.5 行 段后: 0.5 行 + 段前:..."/>
    <w:basedOn w:val="100"/>
    <w:autoRedefine/>
    <w:qFormat/>
    <w:uiPriority w:val="0"/>
    <w:pPr>
      <w:ind w:firstLine="250" w:firstLineChars="250"/>
    </w:pPr>
  </w:style>
  <w:style w:type="paragraph" w:customStyle="1" w:styleId="121">
    <w:name w:val="xl67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122">
    <w:name w:val="xl73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cs="宋体"/>
      <w:b/>
      <w:bCs/>
      <w:kern w:val="0"/>
      <w:sz w:val="24"/>
    </w:rPr>
  </w:style>
  <w:style w:type="paragraph" w:customStyle="1" w:styleId="123">
    <w:name w:val="列项●（二级）"/>
    <w:autoRedefine/>
    <w:qFormat/>
    <w:uiPriority w:val="0"/>
    <w:pPr>
      <w:numPr>
        <w:ilvl w:val="1"/>
        <w:numId w:val="11"/>
      </w:numPr>
      <w:tabs>
        <w:tab w:val="left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4">
    <w:name w:val="xl68"/>
    <w:basedOn w:val="1"/>
    <w:autoRedefine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125">
    <w:name w:val="封面标准号1"/>
    <w:autoRedefine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6">
    <w:name w:val="示例"/>
    <w:next w:val="127"/>
    <w:autoRedefine/>
    <w:qFormat/>
    <w:uiPriority w:val="0"/>
    <w:pPr>
      <w:widowControl w:val="0"/>
      <w:numPr>
        <w:ilvl w:val="0"/>
        <w:numId w:val="12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27">
    <w:name w:val="示例内容"/>
    <w:autoRedefine/>
    <w:qFormat/>
    <w:uiPriority w:val="0"/>
    <w:pPr>
      <w:ind w:firstLine="200" w:firstLineChars="200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28">
    <w:name w:val="msonormal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129">
    <w:name w:val="xl107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14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100" w:firstLineChars="100"/>
      <w:jc w:val="left"/>
    </w:pPr>
    <w:rPr>
      <w:rFonts w:cs="宋体"/>
      <w:kern w:val="0"/>
      <w:sz w:val="24"/>
    </w:rPr>
  </w:style>
  <w:style w:type="paragraph" w:customStyle="1" w:styleId="130">
    <w:name w:val="xl88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131">
    <w:name w:val="xl63"/>
    <w:basedOn w:val="1"/>
    <w:autoRedefine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132">
    <w:name w:val="font5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133">
    <w:name w:val="附录四级无"/>
    <w:basedOn w:val="110"/>
    <w:autoRedefine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34">
    <w:name w:val="xl108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135">
    <w:name w:val="xl89"/>
    <w:basedOn w:val="1"/>
    <w:autoRedefine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left"/>
    </w:pPr>
    <w:rPr>
      <w:rFonts w:cs="宋体"/>
      <w:color w:val="FF0000"/>
      <w:kern w:val="0"/>
      <w:sz w:val="24"/>
    </w:rPr>
  </w:style>
  <w:style w:type="paragraph" w:customStyle="1" w:styleId="136">
    <w:name w:val="封面正文"/>
    <w:autoRedefine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37">
    <w:name w:val="发布部门"/>
    <w:next w:val="34"/>
    <w:autoRedefine/>
    <w:qFormat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sz w:val="28"/>
      <w:lang w:val="en-US" w:eastAsia="zh-CN" w:bidi="ar-SA"/>
    </w:rPr>
  </w:style>
  <w:style w:type="paragraph" w:customStyle="1" w:styleId="138">
    <w:name w:val="xl119"/>
    <w:basedOn w:val="1"/>
    <w:autoRedefine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b/>
      <w:bCs/>
      <w:kern w:val="0"/>
      <w:sz w:val="24"/>
    </w:rPr>
  </w:style>
  <w:style w:type="paragraph" w:customStyle="1" w:styleId="139">
    <w:name w:val="xl117"/>
    <w:basedOn w:val="1"/>
    <w:autoRedefine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100" w:firstLineChars="100"/>
      <w:jc w:val="left"/>
    </w:pPr>
    <w:rPr>
      <w:rFonts w:cs="宋体"/>
      <w:kern w:val="0"/>
      <w:sz w:val="24"/>
    </w:rPr>
  </w:style>
  <w:style w:type="paragraph" w:customStyle="1" w:styleId="140">
    <w:name w:val="封面标准文稿类别"/>
    <w:basedOn w:val="141"/>
    <w:autoRedefine/>
    <w:qFormat/>
    <w:uiPriority w:val="0"/>
    <w:pPr>
      <w:framePr w:wrap="around"/>
      <w:spacing w:after="160" w:line="240" w:lineRule="auto"/>
    </w:pPr>
    <w:rPr>
      <w:sz w:val="24"/>
    </w:rPr>
  </w:style>
  <w:style w:type="paragraph" w:customStyle="1" w:styleId="141">
    <w:name w:val="封面一致性程度标识"/>
    <w:basedOn w:val="142"/>
    <w:autoRedefine/>
    <w:qFormat/>
    <w:uiPriority w:val="0"/>
    <w:pPr>
      <w:framePr w:wrap="around"/>
      <w:spacing w:before="440"/>
    </w:pPr>
    <w:rPr>
      <w:rFonts w:ascii="宋体" w:eastAsia="宋体"/>
    </w:rPr>
  </w:style>
  <w:style w:type="paragraph" w:customStyle="1" w:styleId="142">
    <w:name w:val="封面标准英文名称"/>
    <w:basedOn w:val="143"/>
    <w:autoRedefine/>
    <w:qFormat/>
    <w:uiPriority w:val="0"/>
    <w:pPr>
      <w:framePr w:wrap="around" w:vAnchor="margin" w:hAnchor="text" w:y="1"/>
      <w:spacing w:before="370" w:line="400" w:lineRule="exact"/>
    </w:pPr>
    <w:rPr>
      <w:rFonts w:ascii="Times New Roman"/>
      <w:sz w:val="28"/>
      <w:szCs w:val="28"/>
    </w:rPr>
  </w:style>
  <w:style w:type="paragraph" w:customStyle="1" w:styleId="143">
    <w:name w:val="封面标准名称"/>
    <w:autoRedefine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宋体" w:eastAsia="黑体" w:cs="Times New Roman"/>
      <w:color w:val="000000"/>
      <w:sz w:val="44"/>
      <w:szCs w:val="44"/>
      <w:lang w:val="en-US" w:eastAsia="zh-CN" w:bidi="ar-SA"/>
    </w:rPr>
  </w:style>
  <w:style w:type="paragraph" w:customStyle="1" w:styleId="144">
    <w:name w:val="目次、标准名称标题"/>
    <w:basedOn w:val="1"/>
    <w:next w:val="34"/>
    <w:autoRedefine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outlineLvl w:val="0"/>
    </w:pPr>
    <w:rPr>
      <w:rFonts w:ascii="黑体" w:eastAsia="黑体"/>
      <w:kern w:val="0"/>
      <w:sz w:val="32"/>
      <w:szCs w:val="20"/>
    </w:rPr>
  </w:style>
  <w:style w:type="paragraph" w:customStyle="1" w:styleId="145">
    <w:name w:val="条文脚注"/>
    <w:basedOn w:val="35"/>
    <w:autoRedefine/>
    <w:qFormat/>
    <w:uiPriority w:val="0"/>
    <w:pPr>
      <w:numPr>
        <w:numId w:val="0"/>
      </w:numPr>
      <w:jc w:val="both"/>
    </w:pPr>
  </w:style>
  <w:style w:type="paragraph" w:customStyle="1" w:styleId="146">
    <w:name w:val="四级条标题"/>
    <w:basedOn w:val="102"/>
    <w:next w:val="34"/>
    <w:autoRedefine/>
    <w:qFormat/>
    <w:uiPriority w:val="0"/>
    <w:pPr>
      <w:ind w:left="0"/>
      <w:outlineLvl w:val="5"/>
    </w:pPr>
  </w:style>
  <w:style w:type="paragraph" w:customStyle="1" w:styleId="147">
    <w:name w:val="xl115"/>
    <w:basedOn w:val="1"/>
    <w:autoRedefine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300" w:firstLineChars="300"/>
      <w:jc w:val="left"/>
    </w:pPr>
    <w:rPr>
      <w:rFonts w:cs="宋体"/>
      <w:kern w:val="0"/>
      <w:sz w:val="24"/>
    </w:rPr>
  </w:style>
  <w:style w:type="paragraph" w:customStyle="1" w:styleId="148">
    <w:name w:val="三级"/>
    <w:basedOn w:val="149"/>
    <w:autoRedefine/>
    <w:qFormat/>
    <w:uiPriority w:val="0"/>
    <w:pPr>
      <w:numPr>
        <w:ilvl w:val="0"/>
        <w:numId w:val="0"/>
      </w:numPr>
      <w:spacing w:before="50" w:beforeLines="50" w:after="50" w:afterLines="50"/>
    </w:pPr>
    <w:rPr>
      <w:rFonts w:eastAsia="黑体"/>
    </w:rPr>
  </w:style>
  <w:style w:type="paragraph" w:customStyle="1" w:styleId="149">
    <w:name w:val="二级无"/>
    <w:basedOn w:val="97"/>
    <w:autoRedefine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50">
    <w:name w:val="标准标志"/>
    <w:next w:val="1"/>
    <w:autoRedefine/>
    <w:qFormat/>
    <w:uiPriority w:val="0"/>
    <w:pPr>
      <w:framePr w:w="2546" w:h="1389" w:hRule="exact" w:hSpace="181" w:vSpace="181" w:wrap="around" w:vAnchor="margin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70"/>
      <w:sz w:val="96"/>
      <w:szCs w:val="96"/>
      <w:lang w:val="en-US" w:eastAsia="zh-CN" w:bidi="ar-SA"/>
    </w:rPr>
  </w:style>
  <w:style w:type="paragraph" w:customStyle="1" w:styleId="151">
    <w:name w:val="封面标准号2"/>
    <w:autoRedefine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152">
    <w:name w:val="示例后文字"/>
    <w:basedOn w:val="34"/>
    <w:next w:val="34"/>
    <w:autoRedefine/>
    <w:qFormat/>
    <w:uiPriority w:val="0"/>
    <w:pPr>
      <w:ind w:firstLine="360"/>
    </w:pPr>
    <w:rPr>
      <w:sz w:val="18"/>
    </w:rPr>
  </w:style>
  <w:style w:type="paragraph" w:customStyle="1" w:styleId="153">
    <w:name w:val="目次、索引正文"/>
    <w:autoRedefine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54">
    <w:name w:val="附录三级无"/>
    <w:basedOn w:val="111"/>
    <w:autoRedefine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55">
    <w:name w:val="列项——（一级）"/>
    <w:autoRedefine/>
    <w:qFormat/>
    <w:uiPriority w:val="0"/>
    <w:pPr>
      <w:widowControl w:val="0"/>
      <w:numPr>
        <w:ilvl w:val="0"/>
        <w:numId w:val="11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56">
    <w:name w:val="样式 正文（首行缩进两字） Char + Times New Roman"/>
    <w:basedOn w:val="1"/>
    <w:autoRedefine/>
    <w:qFormat/>
    <w:uiPriority w:val="0"/>
    <w:pPr>
      <w:topLinePunct/>
      <w:snapToGrid w:val="0"/>
    </w:pPr>
    <w:rPr>
      <w:rFonts w:cs="宋体"/>
      <w:szCs w:val="21"/>
    </w:rPr>
  </w:style>
  <w:style w:type="paragraph" w:customStyle="1" w:styleId="157">
    <w:name w:val="xl71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158">
    <w:name w:val="注：（正文）"/>
    <w:basedOn w:val="81"/>
    <w:next w:val="34"/>
    <w:autoRedefine/>
    <w:qFormat/>
    <w:uiPriority w:val="0"/>
    <w:pPr>
      <w:numPr>
        <w:ilvl w:val="0"/>
        <w:numId w:val="13"/>
      </w:numPr>
    </w:pPr>
  </w:style>
  <w:style w:type="paragraph" w:customStyle="1" w:styleId="159">
    <w:name w:val="xl102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27"/>
        <w:right w:val="single" w:color="auto" w:sz="4" w:space="0"/>
      </w:pBdr>
      <w:spacing w:before="100" w:beforeAutospacing="1" w:after="100" w:afterAutospacing="1"/>
      <w:ind w:firstLine="200" w:firstLineChars="200"/>
      <w:jc w:val="left"/>
    </w:pPr>
    <w:rPr>
      <w:rFonts w:cs="宋体"/>
      <w:kern w:val="0"/>
      <w:sz w:val="24"/>
    </w:rPr>
  </w:style>
  <w:style w:type="paragraph" w:customStyle="1" w:styleId="160">
    <w:name w:val="xl81"/>
    <w:basedOn w:val="1"/>
    <w:autoRedefine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left"/>
    </w:pPr>
    <w:rPr>
      <w:rFonts w:cs="宋体"/>
      <w:b/>
      <w:bCs/>
      <w:kern w:val="0"/>
      <w:sz w:val="24"/>
    </w:rPr>
  </w:style>
  <w:style w:type="paragraph" w:customStyle="1" w:styleId="161">
    <w:name w:val="xl70"/>
    <w:basedOn w:val="1"/>
    <w:autoRedefine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162">
    <w:name w:val="编号列项（三级）"/>
    <w:autoRedefine/>
    <w:qFormat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63">
    <w:name w:val="Table Paragraph"/>
    <w:basedOn w:val="1"/>
    <w:autoRedefine/>
    <w:qFormat/>
    <w:uiPriority w:val="1"/>
    <w:pPr>
      <w:autoSpaceDE w:val="0"/>
      <w:autoSpaceDN w:val="0"/>
      <w:jc w:val="left"/>
    </w:pPr>
    <w:rPr>
      <w:rFonts w:cs="宋体"/>
      <w:kern w:val="0"/>
      <w:sz w:val="22"/>
      <w:szCs w:val="22"/>
      <w:lang w:val="ca-ES" w:eastAsia="en-US"/>
    </w:rPr>
  </w:style>
  <w:style w:type="paragraph" w:customStyle="1" w:styleId="164">
    <w:name w:val="xl120"/>
    <w:basedOn w:val="1"/>
    <w:autoRedefine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b/>
      <w:bCs/>
      <w:kern w:val="0"/>
      <w:sz w:val="24"/>
    </w:rPr>
  </w:style>
  <w:style w:type="paragraph" w:customStyle="1" w:styleId="165">
    <w:name w:val="xl106"/>
    <w:basedOn w:val="1"/>
    <w:autoRedefine/>
    <w:qFormat/>
    <w:uiPriority w:val="0"/>
    <w:pPr>
      <w:widowControl/>
      <w:pBdr>
        <w:left w:val="single" w:color="auto" w:sz="4" w:space="27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200" w:firstLineChars="200"/>
      <w:jc w:val="left"/>
    </w:pPr>
    <w:rPr>
      <w:rFonts w:cs="宋体"/>
      <w:kern w:val="0"/>
      <w:sz w:val="24"/>
    </w:rPr>
  </w:style>
  <w:style w:type="paragraph" w:customStyle="1" w:styleId="166">
    <w:name w:val="xl86"/>
    <w:basedOn w:val="1"/>
    <w:autoRedefine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167">
    <w:name w:val="xl98"/>
    <w:basedOn w:val="1"/>
    <w:autoRedefine/>
    <w:qFormat/>
    <w:uiPriority w:val="0"/>
    <w:pPr>
      <w:widowControl/>
      <w:pBdr>
        <w:left w:val="single" w:color="auto" w:sz="4" w:space="27"/>
        <w:right w:val="single" w:color="auto" w:sz="4" w:space="0"/>
      </w:pBdr>
      <w:spacing w:before="100" w:beforeAutospacing="1" w:after="100" w:afterAutospacing="1"/>
      <w:ind w:firstLine="200" w:firstLineChars="200"/>
      <w:jc w:val="left"/>
    </w:pPr>
    <w:rPr>
      <w:rFonts w:cs="宋体"/>
      <w:kern w:val="0"/>
      <w:sz w:val="24"/>
    </w:rPr>
  </w:style>
  <w:style w:type="paragraph" w:customStyle="1" w:styleId="168">
    <w:name w:val="三级无"/>
    <w:basedOn w:val="102"/>
    <w:autoRedefine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69">
    <w:name w:val="附录字母编号列项（一级）"/>
    <w:autoRedefine/>
    <w:qFormat/>
    <w:uiPriority w:val="0"/>
    <w:pPr>
      <w:numPr>
        <w:ilvl w:val="0"/>
        <w:numId w:val="14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0">
    <w:name w:val="xl83"/>
    <w:basedOn w:val="1"/>
    <w:autoRedefine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ind w:firstLine="200" w:firstLineChars="200"/>
      <w:jc w:val="left"/>
    </w:pPr>
    <w:rPr>
      <w:rFonts w:cs="宋体"/>
      <w:kern w:val="0"/>
      <w:sz w:val="24"/>
    </w:rPr>
  </w:style>
  <w:style w:type="paragraph" w:customStyle="1" w:styleId="171">
    <w:name w:val="标准书脚_偶数页"/>
    <w:autoRedefine/>
    <w:qFormat/>
    <w:uiPriority w:val="0"/>
    <w:pPr>
      <w:spacing w:before="120"/>
      <w:ind w:left="221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72">
    <w:name w:val="_Style 170"/>
    <w:basedOn w:val="3"/>
    <w:next w:val="1"/>
    <w:autoRedefine/>
    <w:qFormat/>
    <w:uiPriority w:val="39"/>
    <w:pPr>
      <w:numPr>
        <w:numId w:val="0"/>
      </w:numPr>
      <w:adjustRightInd/>
      <w:spacing w:before="240" w:beforeLines="0" w:after="0" w:afterLines="0" w:line="259" w:lineRule="auto"/>
      <w:jc w:val="left"/>
      <w:outlineLvl w:val="9"/>
    </w:pPr>
    <w:rPr>
      <w:rFonts w:ascii="等线 Light" w:hAnsi="等线 Light" w:eastAsia="等线 Light"/>
      <w:b w:val="0"/>
      <w:bCs w:val="0"/>
      <w:color w:val="2F5496"/>
      <w:kern w:val="0"/>
      <w:szCs w:val="32"/>
      <w:lang w:eastAsia="zh-CN"/>
    </w:rPr>
  </w:style>
  <w:style w:type="paragraph" w:customStyle="1" w:styleId="173">
    <w:name w:val="xl91"/>
    <w:basedOn w:val="1"/>
    <w:autoRedefine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174">
    <w:name w:val="xl93"/>
    <w:basedOn w:val="1"/>
    <w:autoRedefine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175">
    <w:name w:val="封面标准文稿编辑信息"/>
    <w:basedOn w:val="140"/>
    <w:autoRedefine/>
    <w:qFormat/>
    <w:uiPriority w:val="0"/>
    <w:pPr>
      <w:framePr w:wrap="around"/>
      <w:spacing w:before="180" w:line="180" w:lineRule="exact"/>
    </w:pPr>
    <w:rPr>
      <w:sz w:val="21"/>
    </w:rPr>
  </w:style>
  <w:style w:type="paragraph" w:customStyle="1" w:styleId="176">
    <w:name w:val="附录标识"/>
    <w:basedOn w:val="1"/>
    <w:next w:val="34"/>
    <w:autoRedefine/>
    <w:qFormat/>
    <w:uiPriority w:val="0"/>
    <w:pPr>
      <w:keepNext/>
      <w:widowControl/>
      <w:numPr>
        <w:ilvl w:val="0"/>
        <w:numId w:val="10"/>
      </w:numPr>
      <w:shd w:val="clear" w:color="FFFFFF" w:fill="FFFFFF"/>
      <w:tabs>
        <w:tab w:val="left" w:pos="360"/>
        <w:tab w:val="left" w:pos="6405"/>
      </w:tabs>
      <w:spacing w:before="640" w:after="280"/>
      <w:outlineLvl w:val="0"/>
    </w:pPr>
    <w:rPr>
      <w:rFonts w:ascii="黑体" w:eastAsia="黑体"/>
      <w:kern w:val="0"/>
      <w:szCs w:val="20"/>
    </w:rPr>
  </w:style>
  <w:style w:type="paragraph" w:customStyle="1" w:styleId="177">
    <w:name w:val="五级条标题"/>
    <w:basedOn w:val="146"/>
    <w:next w:val="34"/>
    <w:autoRedefine/>
    <w:qFormat/>
    <w:uiPriority w:val="0"/>
    <w:pPr>
      <w:numPr>
        <w:ilvl w:val="5"/>
        <w:numId w:val="8"/>
      </w:numPr>
      <w:outlineLvl w:val="6"/>
    </w:pPr>
  </w:style>
  <w:style w:type="paragraph" w:customStyle="1" w:styleId="178">
    <w:name w:val="发布日期"/>
    <w:autoRedefine/>
    <w:qFormat/>
    <w:uiPriority w:val="0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79">
    <w:name w:val="标准书脚_奇数页"/>
    <w:autoRedefine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0">
    <w:name w:val="标准书眉_奇数页"/>
    <w:next w:val="1"/>
    <w:autoRedefine/>
    <w:qFormat/>
    <w:uiPriority w:val="0"/>
    <w:pPr>
      <w:tabs>
        <w:tab w:val="center" w:pos="4154"/>
        <w:tab w:val="right" w:pos="8306"/>
      </w:tabs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81">
    <w:name w:val="xl105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182">
    <w:name w:val="xl85"/>
    <w:basedOn w:val="1"/>
    <w:autoRedefine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ind w:firstLine="200" w:firstLineChars="200"/>
      <w:jc w:val="left"/>
    </w:pPr>
    <w:rPr>
      <w:rFonts w:cs="宋体"/>
      <w:color w:val="FF0000"/>
      <w:kern w:val="0"/>
      <w:sz w:val="24"/>
    </w:rPr>
  </w:style>
  <w:style w:type="paragraph" w:customStyle="1" w:styleId="183">
    <w:name w:val="附录表标号"/>
    <w:basedOn w:val="1"/>
    <w:next w:val="34"/>
    <w:autoRedefine/>
    <w:qFormat/>
    <w:uiPriority w:val="0"/>
    <w:pPr>
      <w:numPr>
        <w:ilvl w:val="0"/>
        <w:numId w:val="15"/>
      </w:numPr>
      <w:tabs>
        <w:tab w:val="clear" w:pos="0"/>
      </w:tabs>
      <w:spacing w:line="14" w:lineRule="exact"/>
      <w:ind w:left="811" w:hanging="448"/>
      <w:outlineLvl w:val="0"/>
    </w:pPr>
    <w:rPr>
      <w:color w:val="FFFFFF"/>
    </w:rPr>
  </w:style>
  <w:style w:type="paragraph" w:customStyle="1" w:styleId="184">
    <w:name w:val="数字编号列项（二级）"/>
    <w:autoRedefine/>
    <w:qFormat/>
    <w:uiPriority w:val="0"/>
    <w:pPr>
      <w:numPr>
        <w:ilvl w:val="1"/>
        <w:numId w:val="7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85">
    <w:name w:val="xl104"/>
    <w:basedOn w:val="1"/>
    <w:autoRedefine/>
    <w:qFormat/>
    <w:uiPriority w:val="0"/>
    <w:pPr>
      <w:widowControl/>
      <w:pBdr>
        <w:left w:val="single" w:color="auto" w:sz="4" w:space="27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200" w:firstLineChars="200"/>
      <w:jc w:val="left"/>
    </w:pPr>
    <w:rPr>
      <w:rFonts w:cs="宋体"/>
      <w:kern w:val="0"/>
      <w:sz w:val="24"/>
    </w:rPr>
  </w:style>
  <w:style w:type="paragraph" w:customStyle="1" w:styleId="186">
    <w:name w:val="列项说明数字编号"/>
    <w:autoRedefine/>
    <w:qFormat/>
    <w:uiPriority w:val="0"/>
    <w:pPr>
      <w:ind w:left="600" w:leftChars="4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87">
    <w:name w:val="注×："/>
    <w:autoRedefine/>
    <w:qFormat/>
    <w:uiPriority w:val="0"/>
    <w:pPr>
      <w:widowControl w:val="0"/>
      <w:numPr>
        <w:ilvl w:val="0"/>
        <w:numId w:val="16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8">
    <w:name w:val="xl79"/>
    <w:basedOn w:val="1"/>
    <w:autoRedefine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200" w:firstLineChars="200"/>
      <w:jc w:val="left"/>
    </w:pPr>
    <w:rPr>
      <w:rFonts w:cs="宋体"/>
      <w:kern w:val="0"/>
      <w:sz w:val="24"/>
    </w:rPr>
  </w:style>
  <w:style w:type="paragraph" w:customStyle="1" w:styleId="189">
    <w:name w:val="列项◆（三级）"/>
    <w:basedOn w:val="1"/>
    <w:autoRedefine/>
    <w:qFormat/>
    <w:uiPriority w:val="0"/>
    <w:pPr>
      <w:numPr>
        <w:ilvl w:val="2"/>
        <w:numId w:val="11"/>
      </w:numPr>
    </w:pPr>
    <w:rPr>
      <w:szCs w:val="21"/>
    </w:rPr>
  </w:style>
  <w:style w:type="paragraph" w:customStyle="1" w:styleId="190">
    <w:name w:val="示例×："/>
    <w:basedOn w:val="76"/>
    <w:autoRedefine/>
    <w:qFormat/>
    <w:uiPriority w:val="0"/>
    <w:pPr>
      <w:numPr>
        <w:numId w:val="17"/>
      </w:numPr>
      <w:spacing w:before="0" w:beforeLines="0" w:after="0" w:afterLines="0"/>
      <w:outlineLvl w:val="9"/>
    </w:pPr>
    <w:rPr>
      <w:rFonts w:ascii="宋体" w:eastAsia="宋体"/>
      <w:sz w:val="18"/>
      <w:szCs w:val="18"/>
    </w:rPr>
  </w:style>
  <w:style w:type="paragraph" w:customStyle="1" w:styleId="191">
    <w:name w:val="xl116"/>
    <w:basedOn w:val="1"/>
    <w:autoRedefine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ind w:firstLine="100" w:firstLineChars="100"/>
      <w:jc w:val="left"/>
    </w:pPr>
    <w:rPr>
      <w:rFonts w:cs="宋体"/>
      <w:kern w:val="0"/>
      <w:sz w:val="24"/>
    </w:rPr>
  </w:style>
  <w:style w:type="paragraph" w:customStyle="1" w:styleId="192">
    <w:name w:val="段(正文）"/>
    <w:autoRedefine/>
    <w:qFormat/>
    <w:uiPriority w:val="0"/>
    <w:pPr>
      <w:autoSpaceDE w:val="0"/>
      <w:autoSpaceDN w:val="0"/>
      <w:ind w:firstLine="42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93">
    <w:name w:val="附录图标题"/>
    <w:basedOn w:val="1"/>
    <w:next w:val="34"/>
    <w:autoRedefine/>
    <w:qFormat/>
    <w:uiPriority w:val="0"/>
    <w:pPr>
      <w:numPr>
        <w:ilvl w:val="1"/>
        <w:numId w:val="18"/>
      </w:numPr>
      <w:tabs>
        <w:tab w:val="left" w:pos="363"/>
      </w:tabs>
      <w:spacing w:before="50" w:beforeLines="50" w:after="50" w:afterLines="50"/>
      <w:ind w:left="0" w:firstLine="0"/>
    </w:pPr>
    <w:rPr>
      <w:rFonts w:ascii="黑体" w:eastAsia="黑体"/>
      <w:szCs w:val="21"/>
    </w:rPr>
  </w:style>
  <w:style w:type="paragraph" w:customStyle="1" w:styleId="194">
    <w:name w:val="font7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cs="宋体"/>
      <w:color w:val="000000"/>
      <w:kern w:val="0"/>
      <w:sz w:val="22"/>
      <w:szCs w:val="22"/>
    </w:rPr>
  </w:style>
  <w:style w:type="paragraph" w:customStyle="1" w:styleId="195">
    <w:name w:val="xl84"/>
    <w:basedOn w:val="1"/>
    <w:autoRedefine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196">
    <w:name w:val="附录图标号"/>
    <w:basedOn w:val="1"/>
    <w:autoRedefine/>
    <w:qFormat/>
    <w:uiPriority w:val="0"/>
    <w:pPr>
      <w:keepNext/>
      <w:pageBreakBefore/>
      <w:widowControl/>
      <w:numPr>
        <w:ilvl w:val="0"/>
        <w:numId w:val="18"/>
      </w:numPr>
      <w:spacing w:line="14" w:lineRule="exact"/>
      <w:ind w:left="0" w:firstLine="363"/>
      <w:outlineLvl w:val="0"/>
    </w:pPr>
    <w:rPr>
      <w:color w:val="FFFFFF"/>
    </w:rPr>
  </w:style>
  <w:style w:type="paragraph" w:customStyle="1" w:styleId="197">
    <w:name w:val="标准称谓"/>
    <w:next w:val="1"/>
    <w:autoRedefine/>
    <w:qFormat/>
    <w:uiPriority w:val="0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48"/>
      <w:lang w:val="en-US" w:eastAsia="zh-CN" w:bidi="ar-SA"/>
    </w:rPr>
  </w:style>
  <w:style w:type="paragraph" w:customStyle="1" w:styleId="198">
    <w:name w:val="xl114"/>
    <w:basedOn w:val="1"/>
    <w:autoRedefine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ind w:firstLine="200" w:firstLineChars="200"/>
      <w:jc w:val="left"/>
    </w:pPr>
    <w:rPr>
      <w:rFonts w:cs="宋体"/>
      <w:kern w:val="0"/>
      <w:sz w:val="24"/>
    </w:rPr>
  </w:style>
  <w:style w:type="paragraph" w:customStyle="1" w:styleId="199">
    <w:name w:val="xl94"/>
    <w:basedOn w:val="1"/>
    <w:autoRedefine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b/>
      <w:bCs/>
      <w:kern w:val="0"/>
      <w:sz w:val="24"/>
    </w:rPr>
  </w:style>
  <w:style w:type="paragraph" w:customStyle="1" w:styleId="200">
    <w:name w:val="标准书眉_偶数页"/>
    <w:basedOn w:val="180"/>
    <w:next w:val="1"/>
    <w:autoRedefine/>
    <w:qFormat/>
    <w:uiPriority w:val="0"/>
    <w:pPr>
      <w:jc w:val="left"/>
    </w:pPr>
  </w:style>
  <w:style w:type="paragraph" w:customStyle="1" w:styleId="201">
    <w:name w:val="xl112"/>
    <w:basedOn w:val="1"/>
    <w:autoRedefine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b/>
      <w:bCs/>
      <w:kern w:val="0"/>
      <w:sz w:val="24"/>
    </w:rPr>
  </w:style>
  <w:style w:type="paragraph" w:customStyle="1" w:styleId="202">
    <w:name w:val="标准书眉一"/>
    <w:autoRedefine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203">
    <w:name w:val="xl110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14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100" w:firstLineChars="100"/>
      <w:jc w:val="left"/>
    </w:pPr>
    <w:rPr>
      <w:rFonts w:cs="宋体"/>
      <w:kern w:val="0"/>
      <w:sz w:val="24"/>
    </w:rPr>
  </w:style>
  <w:style w:type="paragraph" w:customStyle="1" w:styleId="204">
    <w:name w:val="xl92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205">
    <w:name w:val="xl66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206">
    <w:name w:val="附录标题"/>
    <w:basedOn w:val="34"/>
    <w:next w:val="34"/>
    <w:autoRedefine/>
    <w:qFormat/>
    <w:uiPriority w:val="0"/>
    <w:pPr>
      <w:jc w:val="center"/>
    </w:pPr>
    <w:rPr>
      <w:rFonts w:ascii="黑体" w:eastAsia="黑体"/>
    </w:rPr>
  </w:style>
  <w:style w:type="paragraph" w:customStyle="1" w:styleId="207">
    <w:name w:val="参考文献"/>
    <w:basedOn w:val="1"/>
    <w:next w:val="34"/>
    <w:autoRedefine/>
    <w:qFormat/>
    <w:uiPriority w:val="0"/>
    <w:pPr>
      <w:keepNext/>
      <w:pageBreakBefore/>
      <w:widowControl/>
      <w:shd w:val="clear" w:color="FFFFFF" w:fill="FFFFFF"/>
      <w:spacing w:before="640" w:after="200"/>
      <w:outlineLvl w:val="0"/>
    </w:pPr>
    <w:rPr>
      <w:rFonts w:ascii="黑体" w:eastAsia="黑体"/>
      <w:kern w:val="0"/>
      <w:szCs w:val="20"/>
    </w:rPr>
  </w:style>
  <w:style w:type="paragraph" w:customStyle="1" w:styleId="208">
    <w:name w:val="xl109"/>
    <w:basedOn w:val="1"/>
    <w:autoRedefine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209">
    <w:name w:val="xl90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210">
    <w:name w:val="参考文献、索引标题"/>
    <w:basedOn w:val="1"/>
    <w:next w:val="34"/>
    <w:autoRedefine/>
    <w:qFormat/>
    <w:uiPriority w:val="0"/>
    <w:pPr>
      <w:keepNext/>
      <w:pageBreakBefore/>
      <w:widowControl/>
      <w:shd w:val="clear" w:color="FFFFFF" w:fill="FFFFFF"/>
      <w:spacing w:before="640" w:after="200"/>
      <w:outlineLvl w:val="0"/>
    </w:pPr>
    <w:rPr>
      <w:rFonts w:ascii="黑体" w:eastAsia="黑体"/>
      <w:kern w:val="0"/>
      <w:szCs w:val="20"/>
    </w:rPr>
  </w:style>
  <w:style w:type="paragraph" w:styleId="211">
    <w:name w:val="List Paragraph"/>
    <w:basedOn w:val="1"/>
    <w:autoRedefine/>
    <w:qFormat/>
    <w:uiPriority w:val="34"/>
    <w:pPr>
      <w:widowControl/>
      <w:spacing w:before="240" w:beforeLines="100" w:after="240" w:afterLines="100"/>
      <w:jc w:val="both"/>
      <w:outlineLvl w:val="0"/>
    </w:pPr>
    <w:rPr>
      <w:rFonts w:eastAsia="黑体" w:cs="宋体"/>
      <w:kern w:val="0"/>
      <w:szCs w:val="21"/>
      <w:lang w:val="ca-ES" w:eastAsia="en-US"/>
    </w:rPr>
  </w:style>
  <w:style w:type="paragraph" w:customStyle="1" w:styleId="212">
    <w:name w:val="附录二级无"/>
    <w:basedOn w:val="112"/>
    <w:autoRedefine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213">
    <w:name w:val="封面标准代替信息"/>
    <w:autoRedefine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214">
    <w:name w:val="xl64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215">
    <w:name w:val="附录表标题"/>
    <w:basedOn w:val="1"/>
    <w:next w:val="34"/>
    <w:autoRedefine/>
    <w:qFormat/>
    <w:uiPriority w:val="0"/>
    <w:pPr>
      <w:numPr>
        <w:ilvl w:val="1"/>
        <w:numId w:val="15"/>
      </w:numPr>
      <w:tabs>
        <w:tab w:val="left" w:pos="180"/>
      </w:tabs>
      <w:spacing w:before="50" w:beforeLines="50" w:after="50" w:afterLines="50"/>
      <w:ind w:left="0" w:firstLine="0"/>
    </w:pPr>
    <w:rPr>
      <w:rFonts w:ascii="黑体" w:eastAsia="黑体"/>
      <w:szCs w:val="21"/>
    </w:rPr>
  </w:style>
  <w:style w:type="paragraph" w:customStyle="1" w:styleId="216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217">
    <w:name w:val="xl69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218">
    <w:name w:val="xl65"/>
    <w:basedOn w:val="1"/>
    <w:autoRedefine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219">
    <w:name w:val="附录公式编号制表符"/>
    <w:basedOn w:val="1"/>
    <w:next w:val="34"/>
    <w:autoRedefine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kern w:val="0"/>
      <w:szCs w:val="20"/>
    </w:rPr>
  </w:style>
  <w:style w:type="paragraph" w:customStyle="1" w:styleId="220">
    <w:name w:val="xl121"/>
    <w:basedOn w:val="1"/>
    <w:autoRedefine/>
    <w:qFormat/>
    <w:uiPriority w:val="0"/>
    <w:pPr>
      <w:widowControl/>
      <w:spacing w:before="100" w:beforeAutospacing="1" w:after="100" w:afterAutospacing="1"/>
      <w:ind w:firstLine="200" w:firstLineChars="200"/>
      <w:jc w:val="left"/>
    </w:pPr>
    <w:rPr>
      <w:rFonts w:cs="宋体"/>
      <w:kern w:val="0"/>
      <w:sz w:val="24"/>
    </w:rPr>
  </w:style>
  <w:style w:type="paragraph" w:customStyle="1" w:styleId="221">
    <w:name w:val="xl100"/>
    <w:basedOn w:val="1"/>
    <w:autoRedefine/>
    <w:qFormat/>
    <w:uiPriority w:val="0"/>
    <w:pPr>
      <w:widowControl/>
      <w:pBdr>
        <w:left w:val="single" w:color="auto" w:sz="4" w:space="27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200" w:firstLineChars="200"/>
      <w:jc w:val="left"/>
    </w:pPr>
    <w:rPr>
      <w:rFonts w:cs="宋体"/>
      <w:kern w:val="0"/>
      <w:sz w:val="24"/>
    </w:rPr>
  </w:style>
  <w:style w:type="paragraph" w:customStyle="1" w:styleId="222">
    <w:name w:val="附录数字编号列项（二级）"/>
    <w:autoRedefine/>
    <w:qFormat/>
    <w:uiPriority w:val="0"/>
    <w:pPr>
      <w:numPr>
        <w:ilvl w:val="1"/>
        <w:numId w:val="14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23">
    <w:name w:val="xl76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b/>
      <w:bCs/>
      <w:kern w:val="0"/>
      <w:sz w:val="24"/>
    </w:rPr>
  </w:style>
  <w:style w:type="paragraph" w:customStyle="1" w:styleId="224">
    <w:name w:val="xl95"/>
    <w:basedOn w:val="1"/>
    <w:autoRedefine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100" w:firstLineChars="100"/>
      <w:jc w:val="left"/>
    </w:pPr>
    <w:rPr>
      <w:rFonts w:cs="宋体"/>
      <w:kern w:val="0"/>
      <w:sz w:val="24"/>
    </w:rPr>
  </w:style>
  <w:style w:type="paragraph" w:customStyle="1" w:styleId="225">
    <w:name w:val="xl74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b/>
      <w:bCs/>
      <w:kern w:val="0"/>
      <w:sz w:val="24"/>
    </w:rPr>
  </w:style>
  <w:style w:type="paragraph" w:customStyle="1" w:styleId="226">
    <w:name w:val="xl75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227">
    <w:name w:val="附录章标题"/>
    <w:next w:val="34"/>
    <w:autoRedefine/>
    <w:qFormat/>
    <w:uiPriority w:val="0"/>
    <w:pPr>
      <w:numPr>
        <w:ilvl w:val="1"/>
        <w:numId w:val="10"/>
      </w:numPr>
      <w:tabs>
        <w:tab w:val="left" w:pos="360"/>
      </w:tabs>
      <w:wordWrap w:val="0"/>
      <w:overflowPunct w:val="0"/>
      <w:autoSpaceDE w:val="0"/>
      <w:spacing w:before="100" w:beforeLines="100" w:after="100" w:afterLines="10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228">
    <w:name w:val="附录一级条标题"/>
    <w:basedOn w:val="227"/>
    <w:next w:val="34"/>
    <w:autoRedefine/>
    <w:qFormat/>
    <w:uiPriority w:val="0"/>
    <w:pPr>
      <w:numPr>
        <w:ilvl w:val="2"/>
      </w:numPr>
      <w:autoSpaceDN w:val="0"/>
      <w:spacing w:before="50" w:beforeLines="50" w:after="50" w:afterLines="50"/>
      <w:outlineLvl w:val="2"/>
    </w:pPr>
  </w:style>
  <w:style w:type="paragraph" w:customStyle="1" w:styleId="229">
    <w:name w:val="附录一级无"/>
    <w:basedOn w:val="228"/>
    <w:autoRedefine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230">
    <w:name w:val="列项说明"/>
    <w:basedOn w:val="1"/>
    <w:autoRedefine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kern w:val="0"/>
      <w:szCs w:val="20"/>
    </w:rPr>
  </w:style>
  <w:style w:type="paragraph" w:customStyle="1" w:styleId="231">
    <w:name w:val="_TB01"/>
    <w:basedOn w:val="1"/>
    <w:autoRedefine/>
    <w:qFormat/>
    <w:uiPriority w:val="0"/>
    <w:pPr>
      <w:jc w:val="left"/>
    </w:pPr>
    <w:rPr>
      <w:b/>
      <w:i/>
    </w:rPr>
  </w:style>
  <w:style w:type="paragraph" w:customStyle="1" w:styleId="232">
    <w:name w:val="其他标准标志"/>
    <w:basedOn w:val="150"/>
    <w:autoRedefine/>
    <w:qFormat/>
    <w:uiPriority w:val="0"/>
    <w:pPr>
      <w:framePr w:w="6101" w:wrap="around" w:vAnchor="page" w:hAnchor="page" w:x="4673" w:y="942"/>
    </w:pPr>
    <w:rPr>
      <w:w w:val="130"/>
    </w:rPr>
  </w:style>
  <w:style w:type="paragraph" w:customStyle="1" w:styleId="233">
    <w:name w:val="其他发布部门"/>
    <w:basedOn w:val="137"/>
    <w:autoRedefine/>
    <w:qFormat/>
    <w:uiPriority w:val="0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234">
    <w:name w:val="前言、引言标题"/>
    <w:next w:val="34"/>
    <w:autoRedefine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35">
    <w:name w:val="实施日期"/>
    <w:basedOn w:val="178"/>
    <w:autoRedefine/>
    <w:qFormat/>
    <w:uiPriority w:val="0"/>
    <w:pPr>
      <w:framePr w:wrap="around" w:vAnchor="page" w:hAnchor="text"/>
      <w:jc w:val="right"/>
    </w:pPr>
  </w:style>
  <w:style w:type="paragraph" w:customStyle="1" w:styleId="236">
    <w:name w:val="四级无"/>
    <w:basedOn w:val="146"/>
    <w:autoRedefine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237">
    <w:name w:val="xl87"/>
    <w:basedOn w:val="1"/>
    <w:autoRedefine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238">
    <w:name w:val="图标脚注说明"/>
    <w:basedOn w:val="34"/>
    <w:autoRedefine/>
    <w:qFormat/>
    <w:uiPriority w:val="0"/>
    <w:pPr>
      <w:ind w:left="840" w:hanging="420"/>
    </w:pPr>
    <w:rPr>
      <w:sz w:val="18"/>
      <w:szCs w:val="18"/>
    </w:rPr>
  </w:style>
  <w:style w:type="paragraph" w:customStyle="1" w:styleId="239">
    <w:name w:val="图表脚注说明"/>
    <w:basedOn w:val="1"/>
    <w:autoRedefine/>
    <w:qFormat/>
    <w:uiPriority w:val="0"/>
    <w:pPr>
      <w:numPr>
        <w:ilvl w:val="0"/>
        <w:numId w:val="19"/>
      </w:numPr>
    </w:pPr>
    <w:rPr>
      <w:sz w:val="18"/>
      <w:szCs w:val="18"/>
    </w:rPr>
  </w:style>
  <w:style w:type="paragraph" w:customStyle="1" w:styleId="240">
    <w:name w:val="图的脚注"/>
    <w:next w:val="34"/>
    <w:autoRedefine/>
    <w:qFormat/>
    <w:uiPriority w:val="0"/>
    <w:pPr>
      <w:widowControl w:val="0"/>
      <w:ind w:left="840" w:leftChars="200" w:hanging="42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241">
    <w:name w:val="文献分类号"/>
    <w:autoRedefine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242">
    <w:name w:val="五级无"/>
    <w:basedOn w:val="177"/>
    <w:autoRedefine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243">
    <w:name w:val="一级无"/>
    <w:basedOn w:val="98"/>
    <w:autoRedefine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244">
    <w:name w:val="正文表标题"/>
    <w:next w:val="34"/>
    <w:autoRedefine/>
    <w:qFormat/>
    <w:uiPriority w:val="0"/>
    <w:pPr>
      <w:numPr>
        <w:ilvl w:val="0"/>
        <w:numId w:val="20"/>
      </w:numPr>
      <w:spacing w:before="156" w:beforeLines="50" w:after="156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45">
    <w:name w:val="正文公式编号制表符"/>
    <w:basedOn w:val="34"/>
    <w:next w:val="34"/>
    <w:autoRedefine/>
    <w:qFormat/>
    <w:uiPriority w:val="0"/>
  </w:style>
  <w:style w:type="paragraph" w:customStyle="1" w:styleId="246">
    <w:name w:val="正文图标题"/>
    <w:next w:val="34"/>
    <w:autoRedefine/>
    <w:qFormat/>
    <w:uiPriority w:val="0"/>
    <w:pPr>
      <w:numPr>
        <w:ilvl w:val="0"/>
        <w:numId w:val="21"/>
      </w:numPr>
      <w:spacing w:before="156" w:beforeLines="50" w:after="156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47">
    <w:name w:val="xl101"/>
    <w:basedOn w:val="1"/>
    <w:autoRedefine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ind w:firstLine="300" w:firstLineChars="300"/>
      <w:jc w:val="left"/>
    </w:pPr>
    <w:rPr>
      <w:rFonts w:cs="宋体"/>
      <w:color w:val="FF0000"/>
      <w:kern w:val="0"/>
      <w:sz w:val="24"/>
    </w:rPr>
  </w:style>
  <w:style w:type="paragraph" w:customStyle="1" w:styleId="248">
    <w:name w:val="其他发布日期"/>
    <w:basedOn w:val="178"/>
    <w:autoRedefine/>
    <w:qFormat/>
    <w:uiPriority w:val="0"/>
    <w:pPr>
      <w:framePr w:wrap="around" w:vAnchor="page" w:hAnchor="text" w:x="1419"/>
    </w:pPr>
  </w:style>
  <w:style w:type="paragraph" w:customStyle="1" w:styleId="249">
    <w:name w:val="其他实施日期"/>
    <w:basedOn w:val="235"/>
    <w:autoRedefine/>
    <w:qFormat/>
    <w:uiPriority w:val="0"/>
    <w:pPr>
      <w:framePr w:wrap="around"/>
    </w:pPr>
  </w:style>
  <w:style w:type="paragraph" w:customStyle="1" w:styleId="250">
    <w:name w:val="封面标准名称2"/>
    <w:basedOn w:val="143"/>
    <w:autoRedefine/>
    <w:qFormat/>
    <w:uiPriority w:val="0"/>
    <w:pPr>
      <w:framePr w:wrap="around" w:vAnchor="margin" w:hAnchor="text" w:y="4469"/>
      <w:spacing w:before="630" w:beforeLines="630"/>
    </w:pPr>
  </w:style>
  <w:style w:type="paragraph" w:customStyle="1" w:styleId="251">
    <w:name w:val="封面标准英文名称2"/>
    <w:basedOn w:val="142"/>
    <w:autoRedefine/>
    <w:qFormat/>
    <w:uiPriority w:val="0"/>
    <w:pPr>
      <w:framePr w:wrap="around" w:y="4469"/>
    </w:pPr>
  </w:style>
  <w:style w:type="paragraph" w:customStyle="1" w:styleId="252">
    <w:name w:val="封面一致性程度标识2"/>
    <w:basedOn w:val="141"/>
    <w:autoRedefine/>
    <w:qFormat/>
    <w:uiPriority w:val="0"/>
    <w:pPr>
      <w:framePr w:wrap="around" w:y="4469"/>
    </w:pPr>
  </w:style>
  <w:style w:type="paragraph" w:customStyle="1" w:styleId="253">
    <w:name w:val="封面标准文稿类别2"/>
    <w:basedOn w:val="140"/>
    <w:autoRedefine/>
    <w:qFormat/>
    <w:uiPriority w:val="0"/>
    <w:pPr>
      <w:framePr w:wrap="around" w:y="4469"/>
    </w:pPr>
  </w:style>
  <w:style w:type="paragraph" w:customStyle="1" w:styleId="254">
    <w:name w:val="封面标准文稿编辑信息2"/>
    <w:basedOn w:val="175"/>
    <w:autoRedefine/>
    <w:qFormat/>
    <w:uiPriority w:val="0"/>
    <w:pPr>
      <w:framePr w:wrap="around" w:y="4469"/>
    </w:pPr>
  </w:style>
  <w:style w:type="paragraph" w:customStyle="1" w:styleId="255">
    <w:name w:val="彩色底纹 - 着色 31"/>
    <w:basedOn w:val="1"/>
    <w:autoRedefine/>
    <w:qFormat/>
    <w:uiPriority w:val="0"/>
    <w:pPr>
      <w:ind w:firstLine="420" w:firstLineChars="200"/>
    </w:pPr>
    <w:rPr>
      <w:rFonts w:ascii="Calibri" w:hAnsi="Calibri" w:cs="Calibri"/>
      <w:szCs w:val="21"/>
    </w:rPr>
  </w:style>
  <w:style w:type="paragraph" w:customStyle="1" w:styleId="256">
    <w:name w:val="p16"/>
    <w:basedOn w:val="1"/>
    <w:autoRedefine/>
    <w:qFormat/>
    <w:uiPriority w:val="0"/>
    <w:pPr>
      <w:widowControl/>
      <w:ind w:firstLine="420"/>
    </w:pPr>
    <w:rPr>
      <w:rFonts w:cs="宋体"/>
      <w:kern w:val="0"/>
      <w:szCs w:val="21"/>
    </w:rPr>
  </w:style>
  <w:style w:type="paragraph" w:customStyle="1" w:styleId="257">
    <w:name w:val="xl72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258">
    <w:name w:val="xl77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cs="宋体"/>
      <w:b/>
      <w:bCs/>
      <w:kern w:val="0"/>
      <w:sz w:val="24"/>
    </w:rPr>
  </w:style>
  <w:style w:type="paragraph" w:customStyle="1" w:styleId="259">
    <w:name w:val="xl103"/>
    <w:basedOn w:val="1"/>
    <w:autoRedefine/>
    <w:qFormat/>
    <w:uiPriority w:val="0"/>
    <w:pPr>
      <w:widowControl/>
      <w:pBdr>
        <w:left w:val="single" w:color="auto" w:sz="4" w:space="27"/>
        <w:right w:val="single" w:color="auto" w:sz="4" w:space="0"/>
      </w:pBdr>
      <w:spacing w:before="100" w:beforeAutospacing="1" w:after="100" w:afterAutospacing="1"/>
      <w:ind w:firstLine="200" w:firstLineChars="200"/>
      <w:jc w:val="left"/>
    </w:pPr>
    <w:rPr>
      <w:rFonts w:cs="宋体"/>
      <w:kern w:val="0"/>
      <w:sz w:val="24"/>
    </w:rPr>
  </w:style>
  <w:style w:type="paragraph" w:customStyle="1" w:styleId="260">
    <w:name w:val="xl82"/>
    <w:basedOn w:val="1"/>
    <w:autoRedefine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ind w:firstLine="300" w:firstLineChars="300"/>
      <w:jc w:val="left"/>
    </w:pPr>
    <w:rPr>
      <w:rFonts w:cs="宋体"/>
      <w:kern w:val="0"/>
      <w:sz w:val="24"/>
    </w:rPr>
  </w:style>
  <w:style w:type="paragraph" w:customStyle="1" w:styleId="261">
    <w:name w:val="xl111"/>
    <w:basedOn w:val="1"/>
    <w:autoRedefine/>
    <w:qFormat/>
    <w:uiPriority w:val="0"/>
    <w:pPr>
      <w:widowControl/>
      <w:pBdr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300" w:firstLineChars="300"/>
      <w:jc w:val="left"/>
    </w:pPr>
    <w:rPr>
      <w:rFonts w:cs="宋体"/>
      <w:kern w:val="0"/>
      <w:sz w:val="24"/>
    </w:rPr>
  </w:style>
  <w:style w:type="paragraph" w:customStyle="1" w:styleId="262">
    <w:name w:val="xl97"/>
    <w:basedOn w:val="1"/>
    <w:autoRedefine/>
    <w:qFormat/>
    <w:uiPriority w:val="0"/>
    <w:pPr>
      <w:widowControl/>
      <w:pBdr>
        <w:left w:val="single" w:color="auto" w:sz="4" w:space="14"/>
        <w:right w:val="single" w:color="auto" w:sz="4" w:space="0"/>
      </w:pBdr>
      <w:spacing w:before="100" w:beforeAutospacing="1" w:after="100" w:afterAutospacing="1"/>
      <w:ind w:firstLine="100" w:firstLineChars="100"/>
      <w:jc w:val="left"/>
    </w:pPr>
    <w:rPr>
      <w:rFonts w:cs="宋体"/>
      <w:kern w:val="0"/>
      <w:sz w:val="24"/>
    </w:rPr>
  </w:style>
  <w:style w:type="paragraph" w:customStyle="1" w:styleId="263">
    <w:name w:val="xl99"/>
    <w:basedOn w:val="1"/>
    <w:autoRedefine/>
    <w:qFormat/>
    <w:uiPriority w:val="0"/>
    <w:pPr>
      <w:widowControl/>
      <w:pBdr>
        <w:left w:val="single" w:color="auto" w:sz="4" w:space="27"/>
      </w:pBdr>
      <w:spacing w:before="100" w:beforeAutospacing="1" w:after="100" w:afterAutospacing="1"/>
      <w:ind w:firstLine="200" w:firstLineChars="200"/>
      <w:jc w:val="left"/>
    </w:pPr>
    <w:rPr>
      <w:rFonts w:cs="宋体"/>
      <w:kern w:val="0"/>
      <w:sz w:val="24"/>
    </w:rPr>
  </w:style>
  <w:style w:type="paragraph" w:customStyle="1" w:styleId="264">
    <w:name w:val="xl113"/>
    <w:basedOn w:val="1"/>
    <w:autoRedefine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100" w:firstLineChars="100"/>
      <w:jc w:val="left"/>
    </w:pPr>
    <w:rPr>
      <w:rFonts w:cs="宋体"/>
      <w:kern w:val="0"/>
      <w:sz w:val="24"/>
    </w:rPr>
  </w:style>
  <w:style w:type="table" w:customStyle="1" w:styleId="265">
    <w:name w:val="Table Normal"/>
    <w:autoRedefine/>
    <w:unhideWhenUsed/>
    <w:qFormat/>
    <w:uiPriority w:val="0"/>
    <w:pPr>
      <w:widowControl w:val="0"/>
      <w:autoSpaceDE w:val="0"/>
      <w:autoSpaceDN w:val="0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6">
    <w:name w:val="页眉 Char1"/>
    <w:autoRedefine/>
    <w:qFormat/>
    <w:uiPriority w:val="99"/>
    <w:rPr>
      <w:sz w:val="18"/>
      <w:szCs w:val="18"/>
    </w:rPr>
  </w:style>
  <w:style w:type="character" w:customStyle="1" w:styleId="267">
    <w:name w:val="页脚 Char1"/>
    <w:autoRedefine/>
    <w:qFormat/>
    <w:uiPriority w:val="99"/>
    <w:rPr>
      <w:sz w:val="18"/>
      <w:szCs w:val="18"/>
    </w:rPr>
  </w:style>
  <w:style w:type="paragraph" w:customStyle="1" w:styleId="268">
    <w:name w:val="_标准条文"/>
    <w:basedOn w:val="1"/>
    <w:autoRedefine/>
    <w:qFormat/>
    <w:uiPriority w:val="0"/>
    <w:pPr>
      <w:overflowPunct w:val="0"/>
      <w:snapToGrid w:val="0"/>
      <w:spacing w:beforeLines="25" w:afterLines="25" w:line="276" w:lineRule="auto"/>
      <w:ind w:firstLine="200" w:firstLineChars="200"/>
    </w:pPr>
    <w:rPr>
      <w:rFonts w:ascii="Arial" w:hAnsi="Arial" w:cs="宋体"/>
      <w:szCs w:val="20"/>
    </w:rPr>
  </w:style>
  <w:style w:type="paragraph" w:customStyle="1" w:styleId="269">
    <w:name w:val="样式1正文（首行缩进两字） Char"/>
    <w:basedOn w:val="1"/>
    <w:next w:val="1"/>
    <w:autoRedefine/>
    <w:qFormat/>
    <w:uiPriority w:val="0"/>
    <w:pPr>
      <w:spacing w:line="276" w:lineRule="auto"/>
      <w:ind w:firstLine="420" w:firstLineChars="200"/>
    </w:pPr>
    <w:rPr>
      <w:rFonts w:cs="宋体"/>
      <w:szCs w:val="21"/>
    </w:rPr>
  </w:style>
  <w:style w:type="paragraph" w:customStyle="1" w:styleId="270">
    <w:name w:val="样式 样式1 样式 编号 a + Times New Roman 段前: 0 行 行距: 多倍行距 1.15 字行 + 左..."/>
    <w:basedOn w:val="1"/>
    <w:autoRedefine/>
    <w:qFormat/>
    <w:uiPriority w:val="0"/>
    <w:pPr>
      <w:spacing w:line="276" w:lineRule="auto"/>
      <w:ind w:left="840" w:leftChars="200" w:hanging="420" w:hangingChars="200"/>
    </w:pPr>
    <w:rPr>
      <w:rFonts w:cs="宋体"/>
      <w:szCs w:val="20"/>
    </w:rPr>
  </w:style>
  <w:style w:type="paragraph" w:customStyle="1" w:styleId="271">
    <w:name w:val="样式 样式1 样式 编号 a + Times New Roman 段前: 0 行 行距: 多倍行距 1.15 字行 + 左侧....."/>
    <w:basedOn w:val="1"/>
    <w:autoRedefine/>
    <w:semiHidden/>
    <w:qFormat/>
    <w:uiPriority w:val="0"/>
    <w:pPr>
      <w:snapToGrid w:val="0"/>
      <w:ind w:left="840" w:leftChars="200" w:hanging="420" w:hangingChars="200"/>
    </w:pPr>
    <w:rPr>
      <w:rFonts w:cs="宋体"/>
      <w:spacing w:val="-6"/>
      <w:kern w:val="21"/>
      <w:szCs w:val="20"/>
    </w:rPr>
  </w:style>
  <w:style w:type="paragraph" w:customStyle="1" w:styleId="272">
    <w:name w:val="样式2 样式 a) + 段前: 0行"/>
    <w:basedOn w:val="1"/>
    <w:autoRedefine/>
    <w:semiHidden/>
    <w:qFormat/>
    <w:uiPriority w:val="0"/>
    <w:pPr>
      <w:tabs>
        <w:tab w:val="left" w:pos="780"/>
      </w:tabs>
      <w:spacing w:line="276" w:lineRule="auto"/>
      <w:ind w:left="420" w:leftChars="200"/>
    </w:pPr>
    <w:rPr>
      <w:szCs w:val="21"/>
    </w:rPr>
  </w:style>
  <w:style w:type="paragraph" w:customStyle="1" w:styleId="273">
    <w:name w:val="样式1-4 Times New Roman行距: 多倍行距 1.15 字行 + 左侧:  4 字符"/>
    <w:basedOn w:val="1"/>
    <w:autoRedefine/>
    <w:semiHidden/>
    <w:qFormat/>
    <w:uiPriority w:val="0"/>
    <w:pPr>
      <w:tabs>
        <w:tab w:val="left" w:pos="315"/>
      </w:tabs>
      <w:spacing w:line="276" w:lineRule="auto"/>
      <w:ind w:left="840" w:leftChars="400"/>
    </w:pPr>
    <w:rPr>
      <w:szCs w:val="21"/>
    </w:rPr>
  </w:style>
  <w:style w:type="paragraph" w:customStyle="1" w:styleId="274">
    <w:name w:val="附录-标准"/>
    <w:basedOn w:val="1"/>
    <w:link w:val="275"/>
    <w:autoRedefine/>
    <w:qFormat/>
    <w:uiPriority w:val="0"/>
    <w:pPr>
      <w:widowControl/>
      <w:tabs>
        <w:tab w:val="left" w:pos="3462"/>
      </w:tabs>
      <w:spacing w:after="284"/>
      <w:contextualSpacing/>
      <w:outlineLvl w:val="0"/>
    </w:pPr>
    <w:rPr>
      <w:rFonts w:ascii="黑体" w:hAnsi="黑体" w:eastAsia="黑体"/>
      <w:sz w:val="32"/>
      <w:szCs w:val="32"/>
    </w:rPr>
  </w:style>
  <w:style w:type="character" w:customStyle="1" w:styleId="275">
    <w:name w:val="附录-标准 字符"/>
    <w:link w:val="274"/>
    <w:autoRedefine/>
    <w:qFormat/>
    <w:uiPriority w:val="0"/>
    <w:rPr>
      <w:rFonts w:ascii="黑体" w:hAnsi="黑体" w:eastAsia="黑体"/>
      <w:kern w:val="2"/>
      <w:sz w:val="32"/>
      <w:szCs w:val="32"/>
    </w:rPr>
  </w:style>
  <w:style w:type="paragraph" w:customStyle="1" w:styleId="276">
    <w:name w:val="附录-条目-标准"/>
    <w:basedOn w:val="1"/>
    <w:link w:val="277"/>
    <w:autoRedefine/>
    <w:qFormat/>
    <w:uiPriority w:val="0"/>
    <w:pPr>
      <w:widowControl/>
      <w:numPr>
        <w:ilvl w:val="1"/>
        <w:numId w:val="22"/>
      </w:numPr>
      <w:tabs>
        <w:tab w:val="left" w:pos="360"/>
      </w:tabs>
      <w:wordWrap w:val="0"/>
      <w:overflowPunct w:val="0"/>
      <w:autoSpaceDE w:val="0"/>
      <w:spacing w:before="312" w:after="312"/>
      <w:textAlignment w:val="baseline"/>
      <w:outlineLvl w:val="1"/>
    </w:pPr>
    <w:rPr>
      <w:rFonts w:ascii="黑体" w:hAnsi="黑体" w:eastAsia="黑体" w:cs="黑体"/>
      <w:kern w:val="21"/>
      <w:szCs w:val="21"/>
    </w:rPr>
  </w:style>
  <w:style w:type="character" w:customStyle="1" w:styleId="277">
    <w:name w:val="附录-条目-标准 字符"/>
    <w:link w:val="276"/>
    <w:autoRedefine/>
    <w:qFormat/>
    <w:uiPriority w:val="0"/>
    <w:rPr>
      <w:rFonts w:ascii="黑体" w:hAnsi="黑体" w:eastAsia="黑体" w:cs="黑体"/>
      <w:kern w:val="21"/>
      <w:sz w:val="21"/>
      <w:szCs w:val="21"/>
    </w:rPr>
  </w:style>
  <w:style w:type="paragraph" w:customStyle="1" w:styleId="278">
    <w:name w:val="附录-章-标准"/>
    <w:basedOn w:val="276"/>
    <w:link w:val="279"/>
    <w:autoRedefine/>
    <w:qFormat/>
    <w:uiPriority w:val="0"/>
    <w:pPr>
      <w:numPr>
        <w:ilvl w:val="0"/>
      </w:numPr>
      <w:spacing w:before="0" w:after="0"/>
      <w:outlineLvl w:val="0"/>
    </w:pPr>
  </w:style>
  <w:style w:type="character" w:customStyle="1" w:styleId="279">
    <w:name w:val="附录-章-标准 字符"/>
    <w:link w:val="278"/>
    <w:autoRedefine/>
    <w:qFormat/>
    <w:uiPriority w:val="0"/>
    <w:rPr>
      <w:rFonts w:ascii="黑体" w:hAnsi="黑体" w:eastAsia="黑体" w:cs="黑体"/>
      <w:kern w:val="21"/>
      <w:sz w:val="21"/>
      <w:szCs w:val="21"/>
    </w:rPr>
  </w:style>
  <w:style w:type="paragraph" w:customStyle="1" w:styleId="280">
    <w:name w:val="00-正文"/>
    <w:basedOn w:val="1"/>
    <w:link w:val="281"/>
    <w:autoRedefine/>
    <w:qFormat/>
    <w:uiPriority w:val="0"/>
    <w:pPr>
      <w:spacing w:line="400" w:lineRule="exact"/>
      <w:ind w:firstLine="420"/>
    </w:pPr>
    <w:rPr>
      <w:rFonts w:hAnsi="Calibri" w:cs="Calibri"/>
      <w:szCs w:val="21"/>
    </w:rPr>
  </w:style>
  <w:style w:type="character" w:customStyle="1" w:styleId="281">
    <w:name w:val="00-正文 Char"/>
    <w:link w:val="280"/>
    <w:autoRedefine/>
    <w:qFormat/>
    <w:uiPriority w:val="0"/>
    <w:rPr>
      <w:rFonts w:ascii="宋体" w:hAnsi="Calibri" w:cs="Calibri"/>
      <w:kern w:val="2"/>
      <w:sz w:val="21"/>
      <w:szCs w:val="21"/>
    </w:rPr>
  </w:style>
  <w:style w:type="paragraph" w:customStyle="1" w:styleId="282">
    <w:name w:val="正文-标准"/>
    <w:basedOn w:val="1"/>
    <w:link w:val="283"/>
    <w:autoRedefine/>
    <w:qFormat/>
    <w:uiPriority w:val="0"/>
    <w:pPr>
      <w:ind w:firstLine="200" w:firstLineChars="200"/>
    </w:pPr>
    <w:rPr>
      <w:rFonts w:cs="宋体"/>
      <w:szCs w:val="21"/>
    </w:rPr>
  </w:style>
  <w:style w:type="character" w:customStyle="1" w:styleId="283">
    <w:name w:val="正文-标准 字符"/>
    <w:link w:val="282"/>
    <w:autoRedefine/>
    <w:qFormat/>
    <w:uiPriority w:val="0"/>
    <w:rPr>
      <w:rFonts w:ascii="宋体" w:hAnsi="宋体" w:cs="宋体"/>
      <w:kern w:val="2"/>
      <w:sz w:val="21"/>
      <w:szCs w:val="21"/>
    </w:rPr>
  </w:style>
  <w:style w:type="character" w:customStyle="1" w:styleId="284">
    <w:name w:val="c-color-gray2"/>
    <w:autoRedefine/>
    <w:qFormat/>
    <w:uiPriority w:val="0"/>
  </w:style>
  <w:style w:type="character" w:customStyle="1" w:styleId="285">
    <w:name w:val="content-right_8zs40"/>
    <w:autoRedefine/>
    <w:qFormat/>
    <w:uiPriority w:val="0"/>
  </w:style>
  <w:style w:type="paragraph" w:customStyle="1" w:styleId="286">
    <w:name w:val="修订1"/>
    <w:autoRedefine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87">
    <w:name w:val="Table Text"/>
    <w:basedOn w:val="1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before="73" w:line="220" w:lineRule="auto"/>
      <w:textAlignment w:val="baseline"/>
    </w:pPr>
    <w:rPr>
      <w:rFonts w:ascii="Times New Roman" w:hAnsi="Times New Roman"/>
      <w:snapToGrid w:val="0"/>
      <w:color w:val="000000"/>
      <w:kern w:val="0"/>
      <w:sz w:val="18"/>
      <w:szCs w:val="18"/>
      <w:lang w:eastAsia="en-US"/>
    </w:rPr>
  </w:style>
  <w:style w:type="table" w:customStyle="1" w:styleId="288">
    <w:name w:val="Table Normal1"/>
    <w:autoRedefine/>
    <w:semiHidden/>
    <w:unhideWhenUsed/>
    <w:qFormat/>
    <w:uiPriority w:val="0"/>
    <w:rPr>
      <w:rFonts w:ascii="Arial" w:hAnsi="Arial" w:cs="Arial" w:eastAsiaTheme="minorEastAsia"/>
      <w:snapToGrid w:val="0"/>
      <w:color w:val="000000"/>
      <w:sz w:val="21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9">
    <w:name w:val="Table Normal2"/>
    <w:autoRedefine/>
    <w:semiHidden/>
    <w:unhideWhenUsed/>
    <w:qFormat/>
    <w:uiPriority w:val="0"/>
    <w:rPr>
      <w:rFonts w:ascii="Arial" w:hAnsi="Arial" w:cs="Arial" w:eastAsiaTheme="minorEastAsia"/>
      <w:snapToGrid w:val="0"/>
      <w:color w:val="000000"/>
      <w:sz w:val="21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90">
    <w:name w:val="TOC 标题1"/>
    <w:basedOn w:val="3"/>
    <w:next w:val="1"/>
    <w:autoRedefine/>
    <w:unhideWhenUsed/>
    <w:qFormat/>
    <w:uiPriority w:val="39"/>
    <w:pPr>
      <w:numPr>
        <w:numId w:val="0"/>
      </w:numPr>
      <w:kinsoku w:val="0"/>
      <w:autoSpaceDE w:val="0"/>
      <w:autoSpaceDN w:val="0"/>
      <w:adjustRightInd/>
      <w:snapToGrid w:val="0"/>
      <w:spacing w:before="240" w:beforeLines="0" w:after="0" w:afterLines="0" w:line="259" w:lineRule="auto"/>
      <w:jc w:val="left"/>
      <w:textAlignment w:val="baseline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kern w:val="0"/>
      <w:szCs w:val="32"/>
      <w:lang w:eastAsia="zh-CN"/>
    </w:rPr>
  </w:style>
  <w:style w:type="paragraph" w:customStyle="1" w:styleId="291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microsoft.com/office/2006/relationships/keyMapCustomizations" Target="customizations.xml"/><Relationship Id="rId24" Type="http://schemas.openxmlformats.org/officeDocument/2006/relationships/customXml" Target="../customXml/item2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theme" Target="theme/theme1.xml"/><Relationship Id="rId20" Type="http://schemas.openxmlformats.org/officeDocument/2006/relationships/footer" Target="footer9.xml"/><Relationship Id="rId2" Type="http://schemas.openxmlformats.org/officeDocument/2006/relationships/settings" Target="settings.xml"/><Relationship Id="rId19" Type="http://schemas.openxmlformats.org/officeDocument/2006/relationships/header" Target="header9.xml"/><Relationship Id="rId18" Type="http://schemas.openxmlformats.org/officeDocument/2006/relationships/footer" Target="footer8.xml"/><Relationship Id="rId17" Type="http://schemas.openxmlformats.org/officeDocument/2006/relationships/header" Target="header8.xml"/><Relationship Id="rId16" Type="http://schemas.openxmlformats.org/officeDocument/2006/relationships/footer" Target="footer7.xml"/><Relationship Id="rId15" Type="http://schemas.openxmlformats.org/officeDocument/2006/relationships/header" Target="header7.xml"/><Relationship Id="rId14" Type="http://schemas.openxmlformats.org/officeDocument/2006/relationships/footer" Target="footer6.xml"/><Relationship Id="rId13" Type="http://schemas.openxmlformats.org/officeDocument/2006/relationships/header" Target="header6.xml"/><Relationship Id="rId12" Type="http://schemas.openxmlformats.org/officeDocument/2006/relationships/footer" Target="footer5.xml"/><Relationship Id="rId11" Type="http://schemas.openxmlformats.org/officeDocument/2006/relationships/header" Target="head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Version="6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FF7477-9D41-4E99-85D0-E367C54187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zle</Company>
  <Pages>7</Pages>
  <Words>3640</Words>
  <Characters>3878</Characters>
  <Lines>36</Lines>
  <Paragraphs>10</Paragraphs>
  <TotalTime>1613</TotalTime>
  <ScaleCrop>false</ScaleCrop>
  <LinksUpToDate>false</LinksUpToDate>
  <CharactersWithSpaces>3927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2025-10-29T15:08:00Z</dcterms:created>
  <dc:creator>CNIS</dc:creator>
  <cp:lastModifiedBy>技术所</cp:lastModifiedBy>
  <cp:lastPrinted>2024-04-25T19:18:00Z</cp:lastPrinted>
  <dcterms:modified xsi:type="dcterms:W3CDTF">2026-04-02T07:15:29Z</dcterms:modified>
  <dc:title>标准名称</dc:title>
  <cp:revision>144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A48BE07D3C934B939726248835426402_13</vt:lpwstr>
  </property>
  <property fmtid="{D5CDD505-2E9C-101B-9397-08002B2CF9AE}" pid="4" name="KSOTemplateDocerSaveRecord">
    <vt:lpwstr>eyJoZGlkIjoiNzc5NTlkNjRlMTUzMjBlMzlkYzQ0MDRhZWYyNzAyMDgiLCJ1c2VySWQiOiIxOTgxMjA0MzQifQ==</vt:lpwstr>
  </property>
</Properties>
</file>